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w:t>
      </w:r>
      <w:r>
        <w:t xml:space="preserve"> </w:t>
      </w:r>
      <w:r>
        <w:t xml:space="preserve">Canada</w:t>
      </w:r>
      <w:r>
        <w:t xml:space="preserve"> </w:t>
      </w:r>
      <w:r>
        <w:t xml:space="preserve">Montreal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Independent Auditor Quality Assurance Assessment</w:t>
      </w:r>
    </w:p>
    <w:p>
      <w:pPr>
        <w:pStyle w:val="BodyText"/>
      </w:pPr>
      <w:r>
        <w:rPr>
          <w:bCs/>
          <w:b/>
        </w:rPr>
        <w:t xml:space="preserve">Location:</w:t>
      </w:r>
      <w:r>
        <w:t xml:space="preserve"> </w:t>
      </w:r>
      <w:r>
        <w:t xml:space="preserve">Canada Montreal</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competence, ethical adherence, and quality control systems of the designated Auditor operating within the jurisdiction of Canada Montreal. The review was conducted in accordance with the standards set forth by the Chartered Professional Accountants of Quebec (CPA Quebec) and the Canadian Public Accountability Board (CPAB). The primary objective of this assessment is to ensure that the Auditor maintains the highest level of integrity and technical proficiency required to serve the public interest in the financial markets of Montreal and the broader Canadian economy.</w:t>
      </w:r>
    </w:p>
    <w:p>
      <w:pPr>
        <w:pStyle w:val="BodyText"/>
      </w:pPr>
      <w:r>
        <w:t xml:space="preserve">The review team examined a sample of audit engagements completed during the fiscal year ending December 31, 2022. The scope included an evaluation of the Auditor's compliance with International Standards on Auditing (ISAs) as adopted by Canada, as well as specific regulatory requirements pertinent to the province of Quebec. Overall, the Auditor demonstrates a robust commitment to quality, though specific areas for enhancement regarding documentation and risk assessment have been identified.</w:t>
      </w:r>
    </w:p>
    <w:bookmarkEnd w:id="21"/>
    <w:bookmarkStart w:id="22" w:name="scope-and-methodology"/>
    <w:p>
      <w:pPr>
        <w:pStyle w:val="Heading2"/>
      </w:pPr>
      <w:r>
        <w:t xml:space="preserve">2. Scope and Methodology</w:t>
      </w:r>
    </w:p>
    <w:p>
      <w:pPr>
        <w:pStyle w:val="FirstParagraph"/>
      </w:pPr>
      <w:r>
        <w:t xml:space="preserve">The Peer Review Report encompasses a comprehensive analysis of the Auditor's practice management and technical execution. The methodology employed included:</w:t>
      </w:r>
    </w:p>
    <w:p>
      <w:pPr>
        <w:numPr>
          <w:ilvl w:val="0"/>
          <w:numId w:val="1001"/>
        </w:numPr>
        <w:pStyle w:val="Compact"/>
      </w:pPr>
      <w:r>
        <w:rPr>
          <w:bCs/>
          <w:b/>
        </w:rPr>
        <w:t xml:space="preserve">Documentary Review:</w:t>
      </w:r>
      <w:r>
        <w:t xml:space="preserve"> </w:t>
      </w:r>
      <w:r>
        <w:t xml:space="preserve">Examination of engagement letters, audit plans, working papers, and final audit reports for a selected sample of clients based in Canada Montreal.</w:t>
      </w:r>
    </w:p>
    <w:p>
      <w:pPr>
        <w:numPr>
          <w:ilvl w:val="0"/>
          <w:numId w:val="1001"/>
        </w:numPr>
        <w:pStyle w:val="Compact"/>
      </w:pPr>
      <w:r>
        <w:rPr>
          <w:bCs/>
          <w:b/>
        </w:rPr>
        <w:t xml:space="preserve">Interviews:</w:t>
      </w:r>
      <w:r>
        <w:t xml:space="preserve"> </w:t>
      </w:r>
      <w:r>
        <w:t xml:space="preserve">Discussions with the Auditor and key staff members to assess their understanding of ethical requirements and technical standards.</w:t>
      </w:r>
    </w:p>
    <w:p>
      <w:pPr>
        <w:numPr>
          <w:ilvl w:val="0"/>
          <w:numId w:val="1001"/>
        </w:numPr>
        <w:pStyle w:val="Compact"/>
      </w:pPr>
      <w:r>
        <w:rPr>
          <w:bCs/>
          <w:b/>
        </w:rPr>
        <w:t xml:space="preserve">System Evaluation:</w:t>
      </w:r>
      <w:r>
        <w:t xml:space="preserve"> </w:t>
      </w:r>
      <w:r>
        <w:t xml:space="preserve">Assessment of the firm's internal quality control policies, including independence monitoring and continuing professional development (CPD) programs.</w:t>
      </w:r>
    </w:p>
    <w:p>
      <w:pPr>
        <w:pStyle w:val="FirstParagraph"/>
      </w:pPr>
      <w:r>
        <w:t xml:space="preserve">The review specifically targeted engagements involving complex financial instruments and entities subject to the Quebec Securities Commission regulations, ensuring the Auditor is equipped to handle the unique regulatory landscape of the region.</w:t>
      </w:r>
    </w:p>
    <w:bookmarkEnd w:id="22"/>
    <w:bookmarkStart w:id="23" w:name="evaluation-of-professional-competence"/>
    <w:p>
      <w:pPr>
        <w:pStyle w:val="Heading2"/>
      </w:pPr>
      <w:r>
        <w:t xml:space="preserve">3. Evaluation of Professional Competence</w:t>
      </w:r>
    </w:p>
    <w:p>
      <w:pPr>
        <w:pStyle w:val="FirstParagraph"/>
      </w:pPr>
      <w:r>
        <w:t xml:space="preserve">The Auditor has demonstrated a high level of technical expertise in applying Canadian Accounting Standards for Private Enterprises (ASPE) and International Financial Reporting Standards (IFRS). The review team noted that the Auditor effectively identifies significant risks and designs appropriate audit procedures to address them.</w:t>
      </w:r>
    </w:p>
    <w:p>
      <w:pPr>
        <w:pStyle w:val="BodyText"/>
      </w:pPr>
      <w:r>
        <w:t xml:space="preserve">In the context of Canada Montreal, the Auditor showed particular proficiency in navigating bilingual requirements and local corporate law nuances. The working papers reviewed were generally well-organized, providing sufficient evidence to support the audit opinions issued. The Auditor's ability to exercise professional skepticism was evident in several instances where management assertions were rigorously challenged and verified.</w:t>
      </w:r>
    </w:p>
    <w:bookmarkEnd w:id="23"/>
    <w:bookmarkStart w:id="24" w:name="ethical-compliance-and-independence"/>
    <w:p>
      <w:pPr>
        <w:pStyle w:val="Heading2"/>
      </w:pPr>
      <w:r>
        <w:t xml:space="preserve">4. Ethical Compliance and Independence</w:t>
      </w:r>
    </w:p>
    <w:p>
      <w:pPr>
        <w:pStyle w:val="FirstParagraph"/>
      </w:pPr>
      <w:r>
        <w:t xml:space="preserve">Adherence to the Code of Professional Conduct of CPA Canada is paramount. The Peer Review Report confirms that the Auditor has established effective safeguards to maintain independence in both fact and appearance. The firm's annual independence confirmations were reviewed and found to be comprehensive.</w:t>
      </w:r>
    </w:p>
    <w:p>
      <w:pPr>
        <w:pStyle w:val="BodyText"/>
      </w:pPr>
      <w:r>
        <w:t xml:space="preserve">No conflicts of interest were identified within the sample engagements. The Auditor maintains a clear separation between audit and non-audit services provided to the same clients, ensuring that objectivity is not compromised. This is particularly critical for public interest entities operating in the financial hub of Montreal.</w:t>
      </w:r>
    </w:p>
    <w:bookmarkEnd w:id="24"/>
    <w:bookmarkStart w:id="25" w:name="quality-control-systems"/>
    <w:p>
      <w:pPr>
        <w:pStyle w:val="Heading2"/>
      </w:pPr>
      <w:r>
        <w:t xml:space="preserve">5. Quality Control Systems</w:t>
      </w:r>
    </w:p>
    <w:p>
      <w:pPr>
        <w:pStyle w:val="FirstParagraph"/>
      </w:pPr>
      <w:r>
        <w:t xml:space="preserve">The Auditor's quality control system aligns with International Standard on Quality Control (ISQC) 1. The firm has a designated partner responsible for quality control, who actively monitors compliance with policies.</w:t>
      </w:r>
    </w:p>
    <w:p>
      <w:pPr>
        <w:pStyle w:val="BodyText"/>
      </w:pPr>
      <w:r>
        <w:t xml:space="preserve">However, the review identified a minor deficiency in the timeliness of engagement completion reviews. In two instances, the final review of working papers occurred after the issuance of the audit report, which is a deviation from best practices. The Auditor has acknowledged this finding and has implemented a new tracking system to ensure all reviews are completed prior to report issuance.</w:t>
      </w:r>
    </w:p>
    <w:bookmarkEnd w:id="25"/>
    <w:bookmarkStart w:id="26" w:name="findings-and-recommendations"/>
    <w:p>
      <w:pPr>
        <w:pStyle w:val="Heading2"/>
      </w:pPr>
      <w:r>
        <w:t xml:space="preserve">6. Findings and Recommendations</w:t>
      </w:r>
    </w:p>
    <w:p>
      <w:pPr>
        <w:pStyle w:val="FirstParagraph"/>
      </w:pPr>
      <w:r>
        <w:t xml:space="preserve">Based on the evidence gathered, the following findings and recommendations are presented in this Peer Review Report: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Area of Review</w:t>
            </w:r>
          </w:p>
        </w:tc>
        <w:tc>
          <w:tcPr/>
          <w:p>
            <w:pPr>
              <w:pStyle w:val="Compact"/>
              <w:jc w:val="left"/>
            </w:pPr>
            <w:r>
              <w:t xml:space="preserve">Finding</w:t>
            </w:r>
          </w:p>
        </w:tc>
        <w:tc>
          <w:tcPr/>
          <w:p>
            <w:pPr>
              <w:pStyle w:val="Compact"/>
              <w:jc w:val="left"/>
            </w:pPr>
            <w:r>
              <w:t xml:space="preserve">Recommendation</w:t>
            </w:r>
          </w:p>
        </w:tc>
      </w:tr>
      <w:tr>
        <w:tc>
          <w:tcPr/>
          <w:p>
            <w:pPr>
              <w:pStyle w:val="Compact"/>
              <w:jc w:val="left"/>
            </w:pPr>
            <w:r>
              <w:t xml:space="preserve">Documentation</w:t>
            </w:r>
          </w:p>
        </w:tc>
        <w:tc>
          <w:tcPr/>
          <w:p>
            <w:pPr>
              <w:pStyle w:val="Compact"/>
              <w:jc w:val="left"/>
            </w:pPr>
            <w:r>
              <w:t xml:space="preserve">Some working papers lacked detailed cross-referencing.</w:t>
            </w:r>
          </w:p>
        </w:tc>
        <w:tc>
          <w:tcPr/>
          <w:p>
            <w:pPr>
              <w:pStyle w:val="Compact"/>
              <w:jc w:val="left"/>
            </w:pPr>
            <w:r>
              <w:t xml:space="preserve">Implement a standardized template for working papers to ensure consistency and ease of navigation.</w:t>
            </w:r>
          </w:p>
        </w:tc>
      </w:tr>
      <w:tr>
        <w:tc>
          <w:tcPr/>
          <w:p>
            <w:pPr>
              <w:pStyle w:val="Compact"/>
              <w:jc w:val="left"/>
            </w:pPr>
            <w:r>
              <w:t xml:space="preserve">Risk Assessment</w:t>
            </w:r>
          </w:p>
        </w:tc>
        <w:tc>
          <w:tcPr/>
          <w:p>
            <w:pPr>
              <w:pStyle w:val="Compact"/>
              <w:jc w:val="left"/>
            </w:pPr>
            <w:r>
              <w:t xml:space="preserve">Risk assessments were thorough but could better integrate local economic factors specific to Canada Montreal.</w:t>
            </w:r>
          </w:p>
        </w:tc>
        <w:tc>
          <w:tcPr/>
          <w:p>
            <w:pPr>
              <w:pStyle w:val="Compact"/>
              <w:jc w:val="left"/>
            </w:pPr>
            <w:r>
              <w:t xml:space="preserve">Enhance training on local economic indicators and their impact on audit risk.</w:t>
            </w:r>
          </w:p>
        </w:tc>
      </w:tr>
      <w:tr>
        <w:tc>
          <w:tcPr/>
          <w:p>
            <w:pPr>
              <w:pStyle w:val="Compact"/>
              <w:jc w:val="left"/>
            </w:pPr>
            <w:r>
              <w:t xml:space="preserve">Timeliness</w:t>
            </w:r>
          </w:p>
        </w:tc>
        <w:tc>
          <w:tcPr/>
          <w:p>
            <w:pPr>
              <w:pStyle w:val="Compact"/>
              <w:jc w:val="left"/>
            </w:pPr>
            <w:r>
              <w:t xml:space="preserve">Delays in final review processes.</w:t>
            </w:r>
          </w:p>
        </w:tc>
        <w:tc>
          <w:tcPr/>
          <w:p>
            <w:pPr>
              <w:pStyle w:val="Compact"/>
              <w:jc w:val="left"/>
            </w:pPr>
            <w:r>
              <w:t xml:space="preserve">Adopt the proposed tracking system immediately and monitor its effectiveness.</w:t>
            </w:r>
          </w:p>
        </w:tc>
      </w:tr>
    </w:tbl>
    <w:bookmarkEnd w:id="26"/>
    <w:bookmarkStart w:id="27" w:name="conclusion"/>
    <w:p>
      <w:pPr>
        <w:pStyle w:val="Heading2"/>
      </w:pPr>
      <w:r>
        <w:t xml:space="preserve">7. Conclusion</w:t>
      </w:r>
    </w:p>
    <w:p>
      <w:pPr>
        <w:pStyle w:val="FirstParagraph"/>
      </w:pPr>
      <w:r>
        <w:t xml:space="preserve">In conclusion, this Peer Review Report affirms that the Auditor operates with a high degree of professionalism and technical competence. The Auditor is well-positioned to meet the rigorous demands of the regulatory environment in Canada Montreal. While minor improvements are recommended regarding documentation standards and review timeliness, these do not detract from the overall quality of the audit services provided.</w:t>
      </w:r>
    </w:p>
    <w:p>
      <w:pPr>
        <w:pStyle w:val="BodyText"/>
      </w:pPr>
      <w:r>
        <w:t xml:space="preserve">The Auditor is encouraged to continue fostering a culture of quality and ethical integrity. By addressing the recommendations outlined in this report, the Auditor will further strengthen their practice and maintain the trust of stakeholders in the Canadian financial sector.</w:t>
      </w:r>
    </w:p>
    <w:bookmarkEnd w:id="27"/>
    <w:p>
      <w:pPr>
        <w:pStyle w:val="BodyText"/>
      </w:pPr>
      <w:r>
        <w:rPr>
          <w:bCs/>
          <w:b/>
        </w:rPr>
        <w:t xml:space="preserve">Prepared by:</w:t>
      </w:r>
    </w:p>
    <w:p>
      <w:pPr>
        <w:pStyle w:val="BodyText"/>
      </w:pPr>
      <w:r>
        <w:t xml:space="preserve">__________________________</w:t>
      </w:r>
    </w:p>
    <w:p>
      <w:pPr>
        <w:pStyle w:val="BodyText"/>
      </w:pPr>
      <w:r>
        <w:t xml:space="preserve">Lead Reviewer, Peer Review Committee</w:t>
      </w:r>
    </w:p>
    <w:p>
      <w:pPr>
        <w:pStyle w:val="BodyText"/>
      </w:pPr>
      <w:r>
        <w:t xml:space="preserve">Chartered Professional Accountants of Quebec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 Canada Montreal</dc:title>
  <dc:creator/>
  <dc:language>en</dc:language>
  <cp:keywords/>
  <dcterms:created xsi:type="dcterms:W3CDTF">2026-10-10T06:23:38Z</dcterms:created>
  <dcterms:modified xsi:type="dcterms:W3CDTF">2026-10-10T06:23:38Z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