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Auditor Performance and Compliance</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competence, and regulatory compliance of the designated Auditor within the jurisdiction of Canada Vancouver. The primary objective of this review is to ensure that the Auditor adheres to the rigorous standards set forth by the Chartered Professional Accountants of British Columbia (CPABC) and the Canadian Institute of Chartered Accountants (CICA).</w:t>
      </w:r>
    </w:p>
    <w:p>
      <w:pPr>
        <w:pStyle w:val="BodyText"/>
      </w:pPr>
      <w:r>
        <w:t xml:space="preserve">Given the dynamic economic landscape of Canada Vancouver, characterized by a robust technology sector, real estate market, and international trade, the role of the Auditor is critical. This report assesses whether the Auditor maintains the necessary independence, objectivity, and professional skepticism required to provide assurance services that stakeholders can rely upon. The scope of this review encompasses the examination of audit files, adherence to Canadian Auditing Standards (CAS), and the Auditor's ability to navigate the specific regulatory environment of British Columbia.</w:t>
      </w:r>
    </w:p>
    <w:bookmarkEnd w:id="21"/>
    <w:bookmarkStart w:id="22" w:name="regulatory-framework-and-standards"/>
    <w:p>
      <w:pPr>
        <w:pStyle w:val="Heading2"/>
      </w:pPr>
      <w:r>
        <w:t xml:space="preserve">2. Regulatory Framework and Standards</w:t>
      </w:r>
    </w:p>
    <w:p>
      <w:pPr>
        <w:pStyle w:val="FirstParagraph"/>
      </w:pPr>
      <w:r>
        <w:t xml:space="preserve">The evaluation of the Auditor is grounded in the legal and professional frameworks governing the accounting profession in Canada Vancouver. The Auditor is expected to comply with the</w:t>
      </w:r>
      <w:r>
        <w:t xml:space="preserve"> </w:t>
      </w:r>
      <w:r>
        <w:rPr>
          <w:iCs/>
          <w:i/>
        </w:rPr>
        <w:t xml:space="preserve">Chartered Professional Accountants Act</w:t>
      </w:r>
      <w:r>
        <w:t xml:space="preserve"> </w:t>
      </w:r>
      <w:r>
        <w:t xml:space="preserve">of British Columbia. Furthermore, the review assesses compliance with the</w:t>
      </w:r>
      <w:r>
        <w:t xml:space="preserve"> </w:t>
      </w:r>
      <w:r>
        <w:rPr>
          <w:iCs/>
          <w:i/>
        </w:rPr>
        <w:t xml:space="preserve">Public Company Accounting Oversight Board (PCAOB)</w:t>
      </w:r>
      <w:r>
        <w:t xml:space="preserve"> </w:t>
      </w:r>
      <w:r>
        <w:t xml:space="preserve">standards where applicable, particularly for entities listed on the Toronto Stock Exchange (TSX) with significant operations in Vancouver.</w:t>
      </w:r>
    </w:p>
    <w:p>
      <w:pPr>
        <w:pStyle w:val="BodyText"/>
      </w:pPr>
      <w:r>
        <w:t xml:space="preserve">A key aspect of this Peer Review Report is the verification of the Auditor's adherence to the Code of Professional Conduct. This includes strict adherence to ethical principles such as integrity, objectivity, professional competence and due care, confidentiality, and professional behavior. In the context of Canada Vancouver, where cross-border transactions are frequent, the Auditor must also demonstrate a thorough understanding of International Financial Reporting Standards (IFRS) and their application within the Canadian context.</w:t>
      </w:r>
    </w:p>
    <w:bookmarkEnd w:id="22"/>
    <w:bookmarkStart w:id="23" w:name="assessment-of-technical-competence"/>
    <w:p>
      <w:pPr>
        <w:pStyle w:val="Heading2"/>
      </w:pPr>
      <w:r>
        <w:t xml:space="preserve">3. Assessment of Technical Competence</w:t>
      </w:r>
    </w:p>
    <w:p>
      <w:pPr>
        <w:pStyle w:val="FirstParagraph"/>
      </w:pPr>
      <w:r>
        <w:t xml:space="preserve">The technical competence of the Auditor was evaluated through a detailed review of selected audit engagements. The Auditor demonstrated a strong command of Canadian Auditing Standards (CAS), particularly in areas of risk assessment, internal control evaluation, and substantive testing. The review found that the Auditor effectively identified significant risks related to revenue recognition and asset valuation, which are prevalent concerns in the Canada Vancouver market.</w:t>
      </w:r>
    </w:p>
    <w:p>
      <w:pPr>
        <w:pStyle w:val="BodyText"/>
      </w:pPr>
      <w:r>
        <w:t xml:space="preserve">Furthermore, the Auditor's proficiency in utilizing advanced audit software and data analytics tools was noted. In an era where digital transformation is accelerating in Canada Vancouver, the ability to leverage technology for audit efficiency and effectiveness is paramount. The Auditor successfully integrated these tools to enhance the quality of audit evidence obtained, thereby strengthening the reliability of the audit opinion.</w:t>
      </w:r>
    </w:p>
    <w:bookmarkEnd w:id="23"/>
    <w:bookmarkStart w:id="24" w:name="independence-and-objectivity"/>
    <w:p>
      <w:pPr>
        <w:pStyle w:val="Heading2"/>
      </w:pPr>
      <w:r>
        <w:t xml:space="preserve">4. Independence and Objectivity</w:t>
      </w:r>
    </w:p>
    <w:p>
      <w:pPr>
        <w:pStyle w:val="FirstParagraph"/>
      </w:pPr>
      <w:r>
        <w:t xml:space="preserve">Independence is the cornerstone of the auditing profession. This Peer Review Report confirms that the Auditor has maintained both independence in fact and independence in appearance. The review examined the Auditor's relationships with audit clients, including any financial interests, family relationships, or employment connections that could impair objectivity. No conflicts of interest were identified that would compromise the Auditor's ability to perform their duties impartially.</w:t>
      </w:r>
    </w:p>
    <w:p>
      <w:pPr>
        <w:pStyle w:val="BodyText"/>
      </w:pPr>
      <w:r>
        <w:t xml:space="preserve">The Auditor also demonstrated a commitment to professional skepticism, questioning management assertions and corroborating evidence where necessary. This approach is essential in maintaining the integrity of the financial reporting process in Canada Vancouver, where the stakes for investors and regulators are high.</w:t>
      </w:r>
    </w:p>
    <w:bookmarkEnd w:id="24"/>
    <w:bookmarkStart w:id="25" w:name="quality-control-and-documentation"/>
    <w:p>
      <w:pPr>
        <w:pStyle w:val="Heading2"/>
      </w:pPr>
      <w:r>
        <w:t xml:space="preserve">5. Quality Control and Documentation</w:t>
      </w:r>
    </w:p>
    <w:p>
      <w:pPr>
        <w:pStyle w:val="FirstParagraph"/>
      </w:pPr>
      <w:r>
        <w:t xml:space="preserve">The quality of audit documentation was assessed to ensure that it provides a clear and concise record of the audit work performed. The Auditor's working papers were found to be well-organized, comprehensive, and compliant with CAS requirements. The documentation adequately supported the audit conclusions and opinions expressed in the audit reports.</w:t>
      </w:r>
    </w:p>
    <w:p>
      <w:pPr>
        <w:pStyle w:val="BodyText"/>
      </w:pPr>
      <w:r>
        <w:t xml:space="preserve">Additionally, the Auditor's firm has implemented robust quality control policies and procedures, including regular internal reviews and training programs. These measures contribute to the overall quality of audit services provided and align with the expectations of regulatory bodies in Canada Vancouver.</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it is concluded that the Auditor meets the professional standards and regulatory requirements applicable in Canada Vancouver. The Auditor has demonstrated technical competence, ethical integrity, and a commitment to quality in their audit engagements.</w:t>
      </w:r>
    </w:p>
    <w:p>
      <w:pPr>
        <w:pStyle w:val="BodyText"/>
      </w:pPr>
      <w:r>
        <w:t xml:space="preserve">However, to further enhance the quality of audit services, the following recommendations are made:</w:t>
      </w:r>
    </w:p>
    <w:p>
      <w:pPr>
        <w:numPr>
          <w:ilvl w:val="0"/>
          <w:numId w:val="1001"/>
        </w:numPr>
        <w:pStyle w:val="Compact"/>
      </w:pPr>
      <w:r>
        <w:t xml:space="preserve">Continue to invest in professional development to stay abreast of changes in Canadian Auditing Standards and emerging industry trends in Canada Vancouver.</w:t>
      </w:r>
    </w:p>
    <w:p>
      <w:pPr>
        <w:numPr>
          <w:ilvl w:val="0"/>
          <w:numId w:val="1001"/>
        </w:numPr>
        <w:pStyle w:val="Compact"/>
      </w:pPr>
      <w:r>
        <w:t xml:space="preserve">Strengthen communication with audit committees to ensure that significant audit findings and risks are effectively conveyed.</w:t>
      </w:r>
    </w:p>
    <w:p>
      <w:pPr>
        <w:numPr>
          <w:ilvl w:val="0"/>
          <w:numId w:val="1001"/>
        </w:numPr>
        <w:pStyle w:val="Compact"/>
      </w:pPr>
      <w:r>
        <w:t xml:space="preserve">Enhance the use of data analytics to identify potential fraud risks and anomalies in financial data.</w:t>
      </w:r>
    </w:p>
    <w:p>
      <w:pPr>
        <w:pStyle w:val="FirstParagraph"/>
      </w:pPr>
      <w:r>
        <w:t xml:space="preserve">In conclusion, this Peer Review Report affirms the Auditor's capability to provide high-quality assurance services that contribute to the transparency and accountability of financial reporting in Canada Vancouver. The Auditor's performance is commended, and it is recommended that they continue to uphold the high standards of the profession.</w:t>
      </w:r>
    </w:p>
    <w:bookmarkEnd w:id="26"/>
    <w:p>
      <w:pPr>
        <w:pStyle w:val="BodyText"/>
      </w:pPr>
      <w:r>
        <w:rPr>
          <w:bCs/>
          <w:b/>
        </w:rPr>
        <w:t xml:space="preserve">Prepared by:</w:t>
      </w:r>
    </w:p>
    <w:p>
      <w:pPr>
        <w:pStyle w:val="BodyText"/>
      </w:pPr>
      <w:r>
        <w:t xml:space="preserve">Senior Peer Reviewer</w:t>
      </w:r>
    </w:p>
    <w:p>
      <w:pPr>
        <w:pStyle w:val="BodyText"/>
      </w:pPr>
      <w:r>
        <w:t xml:space="preserve">Chartered Professional Accountants of British Columbia</w:t>
      </w:r>
    </w:p>
    <w:p>
      <w:pPr>
        <w:pStyle w:val="BodyText"/>
      </w:pPr>
      <w:r>
        <w:t xml:space="preserve">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 Canada Vancouver</dc:title>
  <dc:creator/>
  <dc:language>en</dc:language>
  <cp:keywords/>
  <dcterms:created xsi:type="dcterms:W3CDTF">2026-10-10T06:29:50Z</dcterms:created>
  <dcterms:modified xsi:type="dcterms:W3CDTF">2026-10-10T06:29:50Z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