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Auditor Performance Evaluation</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prepared to evaluate the professional performance, technical competence, and adherence to ethical standards of an Auditor operating within the jurisdiction of China Beijing. The purpose of this review is to ensure that the Auditor maintains the highest level of professionalism, complies with local regulations, and aligns with international auditing standards. This document serves as a formal assessment tool for internal quality assurance and external stakeholder confidence.</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Compliance with Chinese Accounting Standards (CAS) and International Standards on Auditing (ISA).</w:t>
      </w:r>
    </w:p>
    <w:p>
      <w:pPr>
        <w:numPr>
          <w:ilvl w:val="0"/>
          <w:numId w:val="1001"/>
        </w:numPr>
        <w:pStyle w:val="Compact"/>
      </w:pPr>
      <w:r>
        <w:t xml:space="preserve">Adherence to ethical guidelines set forth by the Chinese Institute of Certified Public Accountants (CICPA).</w:t>
      </w:r>
    </w:p>
    <w:p>
      <w:pPr>
        <w:numPr>
          <w:ilvl w:val="0"/>
          <w:numId w:val="1001"/>
        </w:numPr>
        <w:pStyle w:val="Compact"/>
      </w:pPr>
      <w:r>
        <w:t xml:space="preserve">Quality of audit documentation and reporting.</w:t>
      </w:r>
    </w:p>
    <w:p>
      <w:pPr>
        <w:numPr>
          <w:ilvl w:val="0"/>
          <w:numId w:val="1001"/>
        </w:numPr>
        <w:pStyle w:val="Compact"/>
      </w:pPr>
      <w:r>
        <w:t xml:space="preserve">Effectiveness of risk assessment and internal control evaluation.</w:t>
      </w:r>
    </w:p>
    <w:p>
      <w:pPr>
        <w:numPr>
          <w:ilvl w:val="0"/>
          <w:numId w:val="1001"/>
        </w:numPr>
        <w:pStyle w:val="Compact"/>
      </w:pPr>
      <w:r>
        <w:t xml:space="preserve">Professional judgment and decision-making in complex scenarios.</w:t>
      </w:r>
    </w:p>
    <w:p>
      <w:pPr>
        <w:numPr>
          <w:ilvl w:val="0"/>
          <w:numId w:val="1001"/>
        </w:numPr>
        <w:pStyle w:val="Compact"/>
      </w:pPr>
      <w:r>
        <w:t xml:space="preserve">Timeliness and efficiency in completing audit engagements.</w:t>
      </w:r>
    </w:p>
    <w:p>
      <w:pPr>
        <w:pStyle w:val="FirstParagraph"/>
      </w:pPr>
      <w:r>
        <w:t xml:space="preserve">The review focuses on audits conducted in China Beijing during the fiscal year 2023, including both domestic and multinational clients.</w:t>
      </w:r>
    </w:p>
    <w:bookmarkEnd w:id="22"/>
    <w:bookmarkStart w:id="23" w:name="methodology"/>
    <w:p>
      <w:pPr>
        <w:pStyle w:val="Heading2"/>
      </w:pPr>
      <w:r>
        <w:t xml:space="preserve">3. Methodology</w:t>
      </w:r>
    </w:p>
    <w:p>
      <w:pPr>
        <w:pStyle w:val="FirstParagraph"/>
      </w:pPr>
      <w:r>
        <w:t xml:space="preserve">The Peer Review Report was conducted using a combination of qualitative and quantitative methods. These included:</w:t>
      </w:r>
    </w:p>
    <w:p>
      <w:pPr>
        <w:numPr>
          <w:ilvl w:val="0"/>
          <w:numId w:val="1002"/>
        </w:numPr>
        <w:pStyle w:val="Compact"/>
      </w:pPr>
      <w:r>
        <w:t xml:space="preserve">Review of selected audit files to assess compliance with standards.</w:t>
      </w:r>
    </w:p>
    <w:p>
      <w:pPr>
        <w:numPr>
          <w:ilvl w:val="0"/>
          <w:numId w:val="1002"/>
        </w:numPr>
        <w:pStyle w:val="Compact"/>
      </w:pPr>
      <w:r>
        <w:t xml:space="preserve">Interviews with the Auditor and their team members.</w:t>
      </w:r>
    </w:p>
    <w:p>
      <w:pPr>
        <w:numPr>
          <w:ilvl w:val="0"/>
          <w:numId w:val="1002"/>
        </w:numPr>
        <w:pStyle w:val="Compact"/>
      </w:pPr>
      <w:r>
        <w:t xml:space="preserve">Feedback from clients and stakeholders.</w:t>
      </w:r>
    </w:p>
    <w:p>
      <w:pPr>
        <w:numPr>
          <w:ilvl w:val="0"/>
          <w:numId w:val="1002"/>
        </w:numPr>
        <w:pStyle w:val="Compact"/>
      </w:pPr>
      <w:r>
        <w:t xml:space="preserve">Analysis of audit reports for accuracy, clarity, and completeness.</w:t>
      </w:r>
    </w:p>
    <w:p>
      <w:pPr>
        <w:numPr>
          <w:ilvl w:val="0"/>
          <w:numId w:val="1002"/>
        </w:numPr>
        <w:pStyle w:val="Compact"/>
      </w:pPr>
      <w:r>
        <w:t xml:space="preserve">Benchmarking against industry best practices in China Beijing.</w:t>
      </w:r>
    </w:p>
    <w:bookmarkEnd w:id="23"/>
    <w:bookmarkStart w:id="30" w:name="findings"/>
    <w:p>
      <w:pPr>
        <w:pStyle w:val="Heading2"/>
      </w:pPr>
      <w:r>
        <w:t xml:space="preserve">4. Findings</w:t>
      </w:r>
    </w:p>
    <w:bookmarkStart w:id="24" w:name="technical-competence"/>
    <w:p>
      <w:pPr>
        <w:pStyle w:val="Heading3"/>
      </w:pPr>
      <w:r>
        <w:t xml:space="preserve">4.1 Technical Competence</w:t>
      </w:r>
    </w:p>
    <w:p>
      <w:pPr>
        <w:pStyle w:val="FirstParagraph"/>
      </w:pPr>
      <w:r>
        <w:t xml:space="preserve">The Auditor demonstrated a strong understanding of Chinese Accounting Standards (CAS) and International Standards on Auditing (ISA). Their ability to apply these standards in practice was evident in the thoroughness of their audit procedures and the accuracy of their findings. However, there were minor instances where additional clarification was needed in the application of certain complex accounting treatments.</w:t>
      </w:r>
    </w:p>
    <w:bookmarkEnd w:id="24"/>
    <w:bookmarkStart w:id="25" w:name="ethical-compliance"/>
    <w:p>
      <w:pPr>
        <w:pStyle w:val="Heading3"/>
      </w:pPr>
      <w:r>
        <w:t xml:space="preserve">4.2 Ethical Compliance</w:t>
      </w:r>
    </w:p>
    <w:p>
      <w:pPr>
        <w:pStyle w:val="FirstParagraph"/>
      </w:pPr>
      <w:r>
        <w:t xml:space="preserve">The Auditor adhered strictly to the ethical guidelines established by the Chinese Institute of Certified Public Accountants (CICPA). There were no reported conflicts of interest or breaches of confidentiality. The Auditor maintained independence and objectivity throughout all engagements.</w:t>
      </w:r>
    </w:p>
    <w:bookmarkEnd w:id="25"/>
    <w:bookmarkStart w:id="26" w:name="quality-of-documentation"/>
    <w:p>
      <w:pPr>
        <w:pStyle w:val="Heading3"/>
      </w:pPr>
      <w:r>
        <w:t xml:space="preserve">4.3 Quality of Documentation</w:t>
      </w:r>
    </w:p>
    <w:p>
      <w:pPr>
        <w:pStyle w:val="FirstParagraph"/>
      </w:pPr>
      <w:r>
        <w:t xml:space="preserve">Audit documentation was generally well-organized and comprehensive. Key areas such as risk assessments, internal control evaluations, and substantive testing were adequately documented. However, some files lacked sufficient detail in explaining the rationale behind specific audit judgments, which could hinder future reviews.</w:t>
      </w:r>
    </w:p>
    <w:bookmarkEnd w:id="26"/>
    <w:bookmarkStart w:id="27" w:name="risk-assessment-and-internal-controls"/>
    <w:p>
      <w:pPr>
        <w:pStyle w:val="Heading3"/>
      </w:pPr>
      <w:r>
        <w:t xml:space="preserve">4.4 Risk Assessment and Internal Controls</w:t>
      </w:r>
    </w:p>
    <w:p>
      <w:pPr>
        <w:pStyle w:val="FirstParagraph"/>
      </w:pPr>
      <w:r>
        <w:t xml:space="preserve">The Auditor effectively identified and assessed risks related to financial reporting. Their evaluation of internal controls was thorough, and they appropriately adjusted their audit approach based on the results. In one instance, the Auditor successfully identified a significant control weakness that led to improved processes for the client.</w:t>
      </w:r>
    </w:p>
    <w:bookmarkEnd w:id="27"/>
    <w:bookmarkStart w:id="28" w:name="professional-judgment"/>
    <w:p>
      <w:pPr>
        <w:pStyle w:val="Heading3"/>
      </w:pPr>
      <w:r>
        <w:t xml:space="preserve">4.5 Professional Judgment</w:t>
      </w:r>
    </w:p>
    <w:p>
      <w:pPr>
        <w:pStyle w:val="FirstParagraph"/>
      </w:pPr>
      <w:r>
        <w:t xml:space="preserve">The Auditor exhibited sound professional judgment in handling complex issues, particularly in areas involving revenue recognition and lease accounting. Their decisions were well-reasoned and supported by relevant evidence.</w:t>
      </w:r>
    </w:p>
    <w:bookmarkEnd w:id="28"/>
    <w:bookmarkStart w:id="29" w:name="timeliness-and-efficiency"/>
    <w:p>
      <w:pPr>
        <w:pStyle w:val="Heading3"/>
      </w:pPr>
      <w:r>
        <w:t xml:space="preserve">4.6 Timeliness and Efficiency</w:t>
      </w:r>
    </w:p>
    <w:p>
      <w:pPr>
        <w:pStyle w:val="FirstParagraph"/>
      </w:pPr>
      <w:r>
        <w:t xml:space="preserve">The Auditor consistently met deadlines for audit engagements, demonstrating strong time management skills. However, there were occasional delays in issuing final reports due to additional client requests for revisions.</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 to enhance the Auditor's performance:</w:t>
      </w:r>
    </w:p>
    <w:p>
      <w:pPr>
        <w:numPr>
          <w:ilvl w:val="0"/>
          <w:numId w:val="1003"/>
        </w:numPr>
        <w:pStyle w:val="Compact"/>
      </w:pPr>
      <w:r>
        <w:t xml:space="preserve">Provide additional training on emerging accounting standards and regulatory changes in China Beijing.</w:t>
      </w:r>
    </w:p>
    <w:p>
      <w:pPr>
        <w:numPr>
          <w:ilvl w:val="0"/>
          <w:numId w:val="1003"/>
        </w:numPr>
        <w:pStyle w:val="Compact"/>
      </w:pPr>
      <w:r>
        <w:t xml:space="preserve">Improve the level of detail in audit documentation, particularly in areas requiring significant professional judgment.</w:t>
      </w:r>
    </w:p>
    <w:p>
      <w:pPr>
        <w:numPr>
          <w:ilvl w:val="0"/>
          <w:numId w:val="1003"/>
        </w:numPr>
        <w:pStyle w:val="Compact"/>
      </w:pPr>
      <w:r>
        <w:t xml:space="preserve">Strengthen communication with clients to minimize delays in report issuance.</w:t>
      </w:r>
    </w:p>
    <w:p>
      <w:pPr>
        <w:numPr>
          <w:ilvl w:val="0"/>
          <w:numId w:val="1003"/>
        </w:numPr>
        <w:pStyle w:val="Compact"/>
      </w:pPr>
      <w:r>
        <w:t xml:space="preserve">Encourage participation in peer learning sessions to share best practices and lessons learned.</w:t>
      </w:r>
    </w:p>
    <w:bookmarkEnd w:id="31"/>
    <w:bookmarkStart w:id="32" w:name="conclusion"/>
    <w:p>
      <w:pPr>
        <w:pStyle w:val="Heading2"/>
      </w:pPr>
      <w:r>
        <w:t xml:space="preserve">6. Conclusion</w:t>
      </w:r>
    </w:p>
    <w:p>
      <w:pPr>
        <w:pStyle w:val="FirstParagraph"/>
      </w:pPr>
      <w:r>
        <w:t xml:space="preserve">This Peer Review Report confirms that the Auditor operating in China Beijing meets the required standards of professionalism, technical competence, and ethical conduct. While there are areas for improvement, the overall performance is satisfactory and reflects a commitment to delivering high-quality audit services. Continuous monitoring and development will ensure sustained excellence in the future.</w:t>
      </w:r>
    </w:p>
    <w:bookmarkEnd w:id="32"/>
    <w:p>
      <w:pPr>
        <w:pStyle w:val="BodyText"/>
      </w:pPr>
      <w:r>
        <w:rPr>
          <w:bCs/>
          <w:b/>
        </w:rPr>
        <w:t xml:space="preserve">Prepared by:</w:t>
      </w:r>
    </w:p>
    <w:p>
      <w:pPr>
        <w:pStyle w:val="BodyText"/>
      </w:pPr>
      <w:r>
        <w:t xml:space="preserve">[Name]</w:t>
      </w:r>
    </w:p>
    <w:p>
      <w:pPr>
        <w:pStyle w:val="BodyText"/>
      </w:pPr>
      <w:r>
        <w:t xml:space="preserve">[Title]</w:t>
      </w:r>
    </w:p>
    <w:p>
      <w:pPr>
        <w:pStyle w:val="BodyText"/>
      </w:pPr>
      <w:r>
        <w:t xml:space="preserve">[Date]</w:t>
      </w:r>
    </w:p>
    <w:p>
      <w:pPr>
        <w:pStyle w:val="BodyText"/>
      </w:pPr>
      <w:r>
        <w:br/>
      </w:r>
    </w:p>
    <w:p>
      <w:pPr>
        <w:pStyle w:val="BodyText"/>
      </w:pPr>
      <w:r>
        <w:rPr>
          <w:bCs/>
          <w:b/>
        </w:rPr>
        <w:t xml:space="preserve">Reviewed by:</w:t>
      </w:r>
    </w:p>
    <w:p>
      <w:pPr>
        <w:pStyle w:val="BodyText"/>
      </w:pPr>
      <w:r>
        <w:t xml:space="preserve">[Name]</w:t>
      </w:r>
    </w:p>
    <w:p>
      <w:pPr>
        <w:pStyle w:val="BodyText"/>
      </w:pPr>
      <w:r>
        <w:t xml:space="preserve">[Title]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Performance Assessment</dc:title>
  <dc:creator/>
  <dc:language>en</dc:language>
  <cp:keywords/>
  <dcterms:created xsi:type="dcterms:W3CDTF">2026-10-10T07:33:19Z</dcterms:created>
  <dcterms:modified xsi:type="dcterms:W3CDTF">2026-10-10T07:33:19Z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