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China</w:t>
      </w:r>
      <w:r>
        <w:t xml:space="preserve"> </w:t>
      </w:r>
      <w:r>
        <w:t xml:space="preserve">Shanghai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Lead Auditor</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ethical conduct, and technical proficiency of the Lead Auditor assigned to the recent audit engagement in China Shanghai. The purpose of this review is to ensure compliance with international auditing standards, local regulatory requirements in China, and the firm's internal quality control policies. The audit engagement focused on financial statements prepared in accordance with Chinese Accounting Standards (CAS) and International Financial Reporting Standards (IFRS), reflecting the dual reporting requirements common in Shanghai's multinational business environment.</w:t>
      </w:r>
    </w:p>
    <w:bookmarkEnd w:id="21"/>
    <w:bookmarkStart w:id="22" w:name="scope-of-the-peer-review"/>
    <w:p>
      <w:pPr>
        <w:pStyle w:val="Heading2"/>
      </w:pPr>
      <w:r>
        <w:t xml:space="preserve">2. Scope of the Peer Review</w:t>
      </w:r>
    </w:p>
    <w:p>
      <w:pPr>
        <w:pStyle w:val="FirstParagraph"/>
      </w:pPr>
      <w:r>
        <w:t xml:space="preserve">The scope of this Peer Review Report encompasses the following key areas:</w:t>
      </w:r>
    </w:p>
    <w:p>
      <w:pPr>
        <w:numPr>
          <w:ilvl w:val="0"/>
          <w:numId w:val="1001"/>
        </w:numPr>
        <w:pStyle w:val="Compact"/>
      </w:pPr>
      <w:r>
        <w:t xml:space="preserve">Compliance with auditing standards and regulatory requirements in China Shanghai.</w:t>
      </w:r>
    </w:p>
    <w:p>
      <w:pPr>
        <w:numPr>
          <w:ilvl w:val="0"/>
          <w:numId w:val="1001"/>
        </w:numPr>
        <w:pStyle w:val="Compact"/>
      </w:pPr>
      <w:r>
        <w:t xml:space="preserve">Quality of audit planning, execution, and documentation.</w:t>
      </w:r>
    </w:p>
    <w:p>
      <w:pPr>
        <w:numPr>
          <w:ilvl w:val="0"/>
          <w:numId w:val="1001"/>
        </w:numPr>
        <w:pStyle w:val="Compact"/>
      </w:pPr>
      <w:r>
        <w:t xml:space="preserve">Professional skepticism and judgment exercised by the Auditor.</w:t>
      </w:r>
    </w:p>
    <w:p>
      <w:pPr>
        <w:numPr>
          <w:ilvl w:val="0"/>
          <w:numId w:val="1001"/>
        </w:numPr>
        <w:pStyle w:val="Compact"/>
      </w:pPr>
      <w:r>
        <w:t xml:space="preserve">Adherence to ethical principles, including independence and confidentiality.</w:t>
      </w:r>
    </w:p>
    <w:p>
      <w:pPr>
        <w:numPr>
          <w:ilvl w:val="0"/>
          <w:numId w:val="1001"/>
        </w:numPr>
        <w:pStyle w:val="Compact"/>
      </w:pPr>
      <w:r>
        <w:t xml:space="preserve">Effectiveness of communication with the client and the audit team.</w:t>
      </w:r>
    </w:p>
    <w:p>
      <w:pPr>
        <w:pStyle w:val="FirstParagraph"/>
      </w:pPr>
      <w:r>
        <w:t xml:space="preserve">The review was conducted by a senior partner with extensive experience in auditing engagements in China Shanghai, ensuring a thorough and objective assessment.</w:t>
      </w:r>
    </w:p>
    <w:bookmarkEnd w:id="22"/>
    <w:bookmarkStart w:id="23" w:name="evaluation-of-professional-competence"/>
    <w:p>
      <w:pPr>
        <w:pStyle w:val="Heading2"/>
      </w:pPr>
      <w:r>
        <w:t xml:space="preserve">3. Evaluation of Professional Competence</w:t>
      </w:r>
    </w:p>
    <w:p>
      <w:pPr>
        <w:pStyle w:val="FirstParagraph"/>
      </w:pPr>
      <w:r>
        <w:t xml:space="preserve">The Auditor demonstrated a strong understanding of both Chinese Accounting Standards (CAS) and International Financial Reporting Standards (IFRS), which is critical for audits conducted in China Shanghai. The Auditor's ability to navigate the complexities of local tax regulations, foreign exchange controls, and industry-specific requirements in Shanghai's dynamic business environment was commendable.</w:t>
      </w:r>
    </w:p>
    <w:p>
      <w:pPr>
        <w:pStyle w:val="BodyText"/>
      </w:pPr>
      <w:r>
        <w:t xml:space="preserve">During the audit planning phase, the Auditor developed a comprehensive audit strategy that addressed key risks identified in the client's operations. The Auditor's risk assessment procedures were thorough, and the allocation of audit resources was appropriate given the scope and complexity of the engagement.</w:t>
      </w:r>
    </w:p>
    <w:bookmarkEnd w:id="23"/>
    <w:bookmarkStart w:id="24" w:name="Xdaf0b0b40423b3c10a559e29ac87f67c82c98a6"/>
    <w:p>
      <w:pPr>
        <w:pStyle w:val="Heading2"/>
      </w:pPr>
      <w:r>
        <w:t xml:space="preserve">4. Quality of Audit Execution and Documentation</w:t>
      </w:r>
    </w:p>
    <w:p>
      <w:pPr>
        <w:pStyle w:val="FirstParagraph"/>
      </w:pPr>
      <w:r>
        <w:t xml:space="preserve">The Auditor's execution of audit procedures was methodical and aligned with the planned audit strategy. Audit evidence obtained was sufficient and appropriate to support the audit opinion. The Auditor's documentation was clear, concise, and well-organized, facilitating an efficient review process.</w:t>
      </w:r>
    </w:p>
    <w:p>
      <w:pPr>
        <w:pStyle w:val="BodyText"/>
      </w:pPr>
      <w:r>
        <w:t xml:space="preserve">However, there were minor areas for improvement. For instance, some working papers lacked detailed explanations of the rationale behind certain audit judgments. Enhancing the clarity of these explanations would strengthen the overall quality of the audit documentation.</w:t>
      </w:r>
    </w:p>
    <w:bookmarkEnd w:id="24"/>
    <w:bookmarkStart w:id="25" w:name="professional-skepticism-and-judgment"/>
    <w:p>
      <w:pPr>
        <w:pStyle w:val="Heading2"/>
      </w:pPr>
      <w:r>
        <w:t xml:space="preserve">5. Professional Skepticism and Judgment</w:t>
      </w:r>
    </w:p>
    <w:p>
      <w:pPr>
        <w:pStyle w:val="FirstParagraph"/>
      </w:pPr>
      <w:r>
        <w:t xml:space="preserve">The Auditor exhibited a high level of professional skepticism throughout the engagement. This was particularly evident in the Auditor's approach to evaluating management's assumptions and estimates, such as revenue recognition and impairment testing. The Auditor's willingness to challenge management's assertions and seek corroborating evidence is a hallmark of a competent Auditor operating in China Shanghai's complex regulatory landscape.</w:t>
      </w:r>
    </w:p>
    <w:bookmarkEnd w:id="25"/>
    <w:bookmarkStart w:id="26" w:name="ethical-conduct-and-independence"/>
    <w:p>
      <w:pPr>
        <w:pStyle w:val="Heading2"/>
      </w:pPr>
      <w:r>
        <w:t xml:space="preserve">6. Ethical Conduct and Independence</w:t>
      </w:r>
    </w:p>
    <w:p>
      <w:pPr>
        <w:pStyle w:val="FirstParagraph"/>
      </w:pPr>
      <w:r>
        <w:t xml:space="preserve">The Auditor maintained strict adherence to ethical principles, including independence and confidentiality. There were no conflicts of interest identified during the engagement, and the Auditor consistently demonstrated integrity and objectivity in all interactions with the client and the audit team.</w:t>
      </w:r>
    </w:p>
    <w:bookmarkEnd w:id="26"/>
    <w:bookmarkStart w:id="27" w:name="communication-and-team-leadership"/>
    <w:p>
      <w:pPr>
        <w:pStyle w:val="Heading2"/>
      </w:pPr>
      <w:r>
        <w:t xml:space="preserve">7. Communication and Team Leadership</w:t>
      </w:r>
    </w:p>
    <w:p>
      <w:pPr>
        <w:pStyle w:val="FirstParagraph"/>
      </w:pPr>
      <w:r>
        <w:t xml:space="preserve">The Auditor's communication skills were effective, both with the client and the audit team. Regular updates were provided to the client, ensuring transparency and fostering a collaborative relationship. The Auditor also demonstrated strong leadership qualities, guiding the audit team through complex issues and ensuring timely completion of the engagement.</w:t>
      </w:r>
    </w:p>
    <w:bookmarkEnd w:id="27"/>
    <w:bookmarkStart w:id="28" w:name="areas-for-improvement"/>
    <w:p>
      <w:pPr>
        <w:pStyle w:val="Heading2"/>
      </w:pPr>
      <w:r>
        <w:t xml:space="preserve">8. Areas for Improvement</w:t>
      </w:r>
    </w:p>
    <w:p>
      <w:pPr>
        <w:pStyle w:val="FirstParagraph"/>
      </w:pPr>
      <w:r>
        <w:t xml:space="preserve">While the Auditor's performance was largely satisfactory, the following areas were identified for improvement:</w:t>
      </w:r>
    </w:p>
    <w:p>
      <w:pPr>
        <w:numPr>
          <w:ilvl w:val="0"/>
          <w:numId w:val="1002"/>
        </w:numPr>
        <w:pStyle w:val="Compact"/>
      </w:pPr>
      <w:r>
        <w:t xml:space="preserve">Enhance the detail and clarity of audit documentation, particularly in areas involving significant judgments.</w:t>
      </w:r>
    </w:p>
    <w:p>
      <w:pPr>
        <w:numPr>
          <w:ilvl w:val="0"/>
          <w:numId w:val="1002"/>
        </w:numPr>
        <w:pStyle w:val="Compact"/>
      </w:pPr>
      <w:r>
        <w:t xml:space="preserve">Strengthen the integration of technology tools to improve the efficiency of audit procedures.</w:t>
      </w:r>
    </w:p>
    <w:p>
      <w:pPr>
        <w:numPr>
          <w:ilvl w:val="0"/>
          <w:numId w:val="1002"/>
        </w:numPr>
        <w:pStyle w:val="Compact"/>
      </w:pPr>
      <w:r>
        <w:t xml:space="preserve">Provide additional training on emerging regulatory changes in China Shanghai to stay ahead of evolving requirements.</w:t>
      </w:r>
    </w:p>
    <w:bookmarkEnd w:id="28"/>
    <w:bookmarkStart w:id="29" w:name="conclusion"/>
    <w:p>
      <w:pPr>
        <w:pStyle w:val="Heading2"/>
      </w:pPr>
      <w:r>
        <w:t xml:space="preserve">9. Conclusion</w:t>
      </w:r>
    </w:p>
    <w:p>
      <w:pPr>
        <w:pStyle w:val="FirstParagraph"/>
      </w:pPr>
      <w:r>
        <w:t xml:space="preserve">In conclusion, this Peer Review Report confirms that the Auditor performed the engagement in China Shanghai with a high degree of professionalism, competence, and adherence to ethical standards. The Auditor's ability to navigate the complexities of the local regulatory environment and deliver a high-quality audit is commendable. Addressing the identified areas for improvement will further enhance the Auditor's performance and contribute to the firm's reputation for excellence in China Shanghai.</w:t>
      </w:r>
    </w:p>
    <w:bookmarkEnd w:id="29"/>
    <w:p>
      <w:pPr>
        <w:pStyle w:val="BodyText"/>
      </w:pPr>
      <w:r>
        <w:rPr>
          <w:bCs/>
          <w:b/>
        </w:rPr>
        <w:t xml:space="preserve">Reviewed by:</w:t>
      </w:r>
    </w:p>
    <w:p>
      <w:pPr>
        <w:pStyle w:val="BodyText"/>
      </w:pPr>
      <w:r>
        <w:t xml:space="preserve">Senior Partner, Audit Quality Assurance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Performance in China Shanghai</dc:title>
  <dc:creator/>
  <dc:language>en</dc:language>
  <cp:keywords/>
  <dcterms:created xsi:type="dcterms:W3CDTF">2026-10-10T06:56:31Z</dcterms:created>
  <dcterms:modified xsi:type="dcterms:W3CDTF">2026-10-10T06:56:31Z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