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Auditor</w:t>
      </w:r>
      <w:r>
        <w:t xml:space="preserve"> </w:t>
      </w:r>
      <w:r>
        <w:t xml:space="preserve">-</w:t>
      </w:r>
      <w:r>
        <w:t xml:space="preserve"> </w:t>
      </w:r>
      <w:r>
        <w:t xml:space="preserve">Colombia</w:t>
      </w:r>
      <w:r>
        <w:t xml:space="preserve"> </w:t>
      </w:r>
      <w:r>
        <w:t xml:space="preserve">Bogotá</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Auditor Performance and Compliance</w:t>
      </w:r>
    </w:p>
    <w:p>
      <w:pPr>
        <w:pStyle w:val="BodyText"/>
      </w:pPr>
      <w:r>
        <w:rPr>
          <w:bCs/>
          <w:b/>
        </w:rPr>
        <w:t xml:space="preserve">Location:</w:t>
      </w:r>
      <w:r>
        <w:t xml:space="preserve"> </w:t>
      </w:r>
      <w:r>
        <w:t xml:space="preserve">Colombia Bogotá</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technical competence, and regulatory compliance of the designated Auditor operating within the jurisdiction of Colombia Bogotá. The primary objective of this review is to ensure that the Auditor adheres to the highest standards of integrity, objectivity, and professional skepticism required by the Colombian regulatory framework.</w:t>
      </w:r>
    </w:p>
    <w:p>
      <w:pPr>
        <w:pStyle w:val="BodyText"/>
      </w:pPr>
      <w:r>
        <w:t xml:space="preserve">Given the dynamic economic environment of Colombia Bogotá, which serves as the financial hub of the nation, the role of the Auditor is critical in maintaining market confidence. This report assesses the Auditor's ability to navigate complex local regulations, including those established by the Superintendencia de Sociedades and the Consejo Técnico de la Contaduría Pública (CTCP). The scope of this review encompasses the examination of audit methodologies, quality control systems, and the application of International Standards on Auditing (ISA) as adopted in Colombia.</w:t>
      </w:r>
    </w:p>
    <w:bookmarkEnd w:id="21"/>
    <w:bookmarkStart w:id="22" w:name="regulatory-framework-and-context"/>
    <w:p>
      <w:pPr>
        <w:pStyle w:val="Heading2"/>
      </w:pPr>
      <w:r>
        <w:t xml:space="preserve">2. Regulatory Framework and Context</w:t>
      </w:r>
    </w:p>
    <w:p>
      <w:pPr>
        <w:pStyle w:val="FirstParagraph"/>
      </w:pPr>
      <w:r>
        <w:t xml:space="preserve">The practice of auditing in Colombia Bogotá is governed by a rigorous set of legal and professional standards. The Auditor under review is expected to demonstrate a comprehensive understanding of the Colombian Commercial Code, tax regulations enforced by the DIAN, and specific financial reporting requirements. Furthermore, the Auditor must align their practices with the ethical codes promulgated by the CTCP, which emphasize independence and professional behavior.</w:t>
      </w:r>
    </w:p>
    <w:p>
      <w:pPr>
        <w:pStyle w:val="BodyText"/>
      </w:pPr>
      <w:r>
        <w:t xml:space="preserve">In the context of Colombia Bogotá, where multinational corporations and local enterprises coexist, the Auditor must be proficient in both local GAAP and International Financial Reporting Standards (IFRS). This Peer Review Report specifically evaluates how effectively the Auditor integrates these standards into their daily operations to provide accurate and transparent financial assurance to stakeholders.</w:t>
      </w:r>
    </w:p>
    <w:bookmarkEnd w:id="22"/>
    <w:bookmarkStart w:id="23" w:name="evaluation-of-technical-competence"/>
    <w:p>
      <w:pPr>
        <w:pStyle w:val="Heading2"/>
      </w:pPr>
      <w:r>
        <w:t xml:space="preserve">3. Evaluation of Technical Competence</w:t>
      </w:r>
    </w:p>
    <w:p>
      <w:pPr>
        <w:pStyle w:val="FirstParagraph"/>
      </w:pPr>
      <w:r>
        <w:t xml:space="preserve">The technical competence of the Auditor was assessed through a detailed review of recent audit files and workpapers. The evaluation focused on the Auditor's ability to identify significant risks, design appropriate audit procedures, and gather sufficient and appropriate audit evidence. The findings indicate that the Auditor demonstrates a strong grasp of accounting principles and audit methodologies relevant to the Colombian market.</w:t>
      </w:r>
    </w:p>
    <w:p>
      <w:pPr>
        <w:pStyle w:val="BodyText"/>
      </w:pPr>
      <w:r>
        <w:t xml:space="preserve">Specifically, the Auditor showed proficiency in assessing internal controls within entities based in Colombia Bogotá. The review noted that the Auditor effectively utilized risk-based auditing techniques to focus on areas with higher potential for material misstatement. Additionally, the Auditor's documentation was found to be thorough, providing a clear trail of the audit process and supporting the conclusions reached in the audit reports.</w:t>
      </w:r>
    </w:p>
    <w:bookmarkEnd w:id="23"/>
    <w:bookmarkStart w:id="24" w:name="quality-control-and-independence"/>
    <w:p>
      <w:pPr>
        <w:pStyle w:val="Heading2"/>
      </w:pPr>
      <w:r>
        <w:t xml:space="preserve">4. Quality Control and Independence</w:t>
      </w:r>
    </w:p>
    <w:p>
      <w:pPr>
        <w:pStyle w:val="FirstParagraph"/>
      </w:pPr>
      <w:r>
        <w:t xml:space="preserve">A critical aspect of this Peer Review Report is the assessment of the Auditor's quality control systems. The Auditor is required to maintain a robust system of quality control that ensures compliance with professional standards and legal requirements. The review found that the Auditor has implemented effective policies and procedures for monitoring the quality of audit engagements.</w:t>
      </w:r>
    </w:p>
    <w:p>
      <w:pPr>
        <w:pStyle w:val="BodyText"/>
      </w:pPr>
      <w:r>
        <w:t xml:space="preserve">Independence is paramount for an Auditor operating in Colombia Bogotá. The review examined the Auditor's relationships with clients and identified any potential threats to independence. It was determined that the Auditor maintains appropriate safeguards to mitigate such threats, thereby preserving their objectivity and impartiality. The Auditor's commitment to ethical conduct was evident in their adherence to the CTCP's code of ethics.</w:t>
      </w:r>
    </w:p>
    <w:bookmarkEnd w:id="24"/>
    <w:bookmarkStart w:id="25" w:name="findings-and-observations"/>
    <w:p>
      <w:pPr>
        <w:pStyle w:val="Heading2"/>
      </w:pPr>
      <w:r>
        <w:t xml:space="preserve">5. Findings and Observations</w:t>
      </w:r>
    </w:p>
    <w:p>
      <w:pPr>
        <w:pStyle w:val="FirstParagraph"/>
      </w:pPr>
      <w:r>
        <w:t xml:space="preserve">During the course of this Peer Review Report, several key findings were noted. The Auditor demonstrated a high level of professionalism and technical expertise in conducting audits within the Colombia Bogotá region. The Auditor's reports were clear, concise, and provided valuable insights to the clients. However, the review also identified areas for improvement, particularly in the documentation of certain complex accounting estimates.</w:t>
      </w:r>
    </w:p>
    <w:p>
      <w:pPr>
        <w:pStyle w:val="BodyText"/>
      </w:pPr>
      <w:r>
        <w:t xml:space="preserve">It was observed that while the Auditor generally adheres to ISA, there were instances where additional documentation could strengthen the audit evidence. Furthermore, the Auditor is encouraged to stay updated with the latest regulatory changes in Colombia, as the legal landscape is subject to frequent modifications. Continuous professional development is essential for the Auditor to maintain their competence and relevance in the evolving market of Colombia Bogotá.</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to enhance the Auditor's performance:</w:t>
      </w:r>
    </w:p>
    <w:p>
      <w:pPr>
        <w:numPr>
          <w:ilvl w:val="0"/>
          <w:numId w:val="1001"/>
        </w:numPr>
        <w:pStyle w:val="Compact"/>
      </w:pPr>
      <w:r>
        <w:t xml:space="preserve">Enhance documentation practices for complex accounting estimates to ensure clarity and completeness.</w:t>
      </w:r>
    </w:p>
    <w:p>
      <w:pPr>
        <w:numPr>
          <w:ilvl w:val="0"/>
          <w:numId w:val="1001"/>
        </w:numPr>
        <w:pStyle w:val="Compact"/>
      </w:pPr>
      <w:r>
        <w:t xml:space="preserve">Engage in ongoing training programs to stay abreast of changes in Colombian regulations and international auditing standards.</w:t>
      </w:r>
    </w:p>
    <w:p>
      <w:pPr>
        <w:numPr>
          <w:ilvl w:val="0"/>
          <w:numId w:val="1001"/>
        </w:numPr>
        <w:pStyle w:val="Compact"/>
      </w:pPr>
      <w:r>
        <w:t xml:space="preserve">Strengthen communication with audit committees to provide more comprehensive insights into audit findings and risks.</w:t>
      </w:r>
    </w:p>
    <w:p>
      <w:pPr>
        <w:numPr>
          <w:ilvl w:val="0"/>
          <w:numId w:val="1001"/>
        </w:numPr>
        <w:pStyle w:val="Compact"/>
      </w:pPr>
      <w:r>
        <w:t xml:space="preserve">Regularly review and update quality control policies to reflect best practices in the auditing profession.</w:t>
      </w:r>
    </w:p>
    <w:bookmarkEnd w:id="26"/>
    <w:bookmarkStart w:id="27" w:name="conclusion"/>
    <w:p>
      <w:pPr>
        <w:pStyle w:val="Heading2"/>
      </w:pPr>
      <w:r>
        <w:t xml:space="preserve">7. Conclusion</w:t>
      </w:r>
    </w:p>
    <w:p>
      <w:pPr>
        <w:pStyle w:val="FirstParagraph"/>
      </w:pPr>
      <w:r>
        <w:t xml:space="preserve">In conclusion, this Peer Review Report affirms that the Auditor operating in Colombia Bogotá meets the necessary standards of professional competence and ethical conduct. The Auditor plays a vital role in ensuring the integrity of financial reporting in the region. By addressing the recommendations outlined in this report, the Auditor can further enhance their quality of service and contribute to the stability and transparency of the financial sector in Colombia Bogotá.</w:t>
      </w:r>
    </w:p>
    <w:bookmarkEnd w:id="27"/>
    <w:p>
      <w:pPr>
        <w:pStyle w:val="BodyText"/>
      </w:pPr>
      <w:r>
        <w:rPr>
          <w:bCs/>
          <w:b/>
        </w:rPr>
        <w:t xml:space="preserve">Prepared by:</w:t>
      </w:r>
    </w:p>
    <w:p>
      <w:pPr>
        <w:pStyle w:val="BodyText"/>
      </w:pPr>
      <w:r>
        <w:t xml:space="preserve">Senior Peer Reviewer</w:t>
      </w:r>
    </w:p>
    <w:p>
      <w:pPr>
        <w:pStyle w:val="BodyText"/>
      </w:pPr>
      <w:r>
        <w:t xml:space="preserve">Professional Auditing Standards Board</w:t>
      </w:r>
    </w:p>
    <w:p>
      <w:pPr>
        <w:pStyle w:val="BodyText"/>
      </w:pPr>
      <w:r>
        <w:t xml:space="preserve">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Auditor - Colombia Bogotá</dc:title>
  <dc:creator/>
  <dc:language>en</dc:language>
  <cp:keywords/>
  <dcterms:created xsi:type="dcterms:W3CDTF">2026-10-10T07:08:10Z</dcterms:created>
  <dcterms:modified xsi:type="dcterms:W3CDTF">2026-10-10T07:08:10Z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