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Audit</w:t>
      </w:r>
      <w:r>
        <w:t xml:space="preserve"> </w:t>
      </w:r>
      <w:r>
        <w:t xml:space="preserve">Firm</w:t>
      </w:r>
      <w:r>
        <w:t xml:space="preserve"> </w:t>
      </w:r>
      <w:r>
        <w:t xml:space="preserve">-</w:t>
      </w:r>
      <w:r>
        <w:t xml:space="preserve"> </w:t>
      </w:r>
      <w:r>
        <w:t xml:space="preserve">Medellín,</w:t>
      </w:r>
      <w:r>
        <w:t xml:space="preserve"> </w:t>
      </w:r>
      <w:r>
        <w:t xml:space="preserve">Colombia</w:t>
      </w:r>
    </w:p>
    <w:bookmarkStart w:id="20" w:name="peer-review-report"/>
    <w:p>
      <w:pPr>
        <w:pStyle w:val="Heading1"/>
      </w:pPr>
      <w:r>
        <w:t xml:space="preserve">Peer Review Report</w:t>
      </w:r>
    </w:p>
    <w:p>
      <w:pPr>
        <w:pStyle w:val="FirstParagraph"/>
      </w:pPr>
      <w:r>
        <w:t xml:space="preserve">Independent Assessment of Quality Control Systems</w:t>
      </w:r>
    </w:p>
    <w:bookmarkEnd w:id="20"/>
    <w:p>
      <w:pPr>
        <w:pStyle w:val="BodyText"/>
      </w:pPr>
      <w:r>
        <w:rPr>
          <w:bCs/>
          <w:b/>
        </w:rPr>
        <w:t xml:space="preserve">Date of Report:</w:t>
      </w:r>
      <w:r>
        <w:t xml:space="preserve"> </w:t>
      </w:r>
      <w:r>
        <w:t xml:space="preserve">October 24, 2023</w:t>
      </w:r>
    </w:p>
    <w:p>
      <w:pPr>
        <w:pStyle w:val="BodyText"/>
      </w:pPr>
      <w:r>
        <w:rPr>
          <w:bCs/>
          <w:b/>
        </w:rPr>
        <w:t xml:space="preserve">Review Period:</w:t>
      </w:r>
      <w:r>
        <w:t xml:space="preserve"> </w:t>
      </w:r>
      <w:r>
        <w:t xml:space="preserve">January 1, 2023 – September 30, 2023</w:t>
      </w:r>
    </w:p>
    <w:p>
      <w:pPr>
        <w:pStyle w:val="BodyText"/>
      </w:pPr>
      <w:r>
        <w:rPr>
          <w:bCs/>
          <w:b/>
        </w:rPr>
        <w:t xml:space="preserve">Auditor Entity:</w:t>
      </w:r>
      <w:r>
        <w:t xml:space="preserve"> </w:t>
      </w:r>
      <w:r>
        <w:t xml:space="preserve">[Name of Audit Firm] S.A.S.</w:t>
      </w:r>
    </w:p>
    <w:p>
      <w:pPr>
        <w:pStyle w:val="BodyText"/>
      </w:pPr>
      <w:r>
        <w:rPr>
          <w:bCs/>
          <w:b/>
        </w:rPr>
        <w:t xml:space="preserve">Location:</w:t>
      </w:r>
      <w:r>
        <w:t xml:space="preserve"> </w:t>
      </w:r>
      <w:r>
        <w:t xml:space="preserve">Medellín, Antioquia, Colombia</w:t>
      </w:r>
    </w:p>
    <w:p>
      <w:pPr>
        <w:pStyle w:val="BodyText"/>
      </w:pPr>
      <w:r>
        <w:rPr>
          <w:bCs/>
          <w:b/>
        </w:rPr>
        <w:t xml:space="preserve">Regulatory Body:</w:t>
      </w:r>
      <w:r>
        <w:t xml:space="preserve"> </w:t>
      </w:r>
      <w:r>
        <w:t xml:space="preserve">Superintendencia de Sociedades</w:t>
      </w:r>
    </w:p>
    <w:p>
      <w:pPr>
        <w:pStyle w:val="BodyText"/>
      </w:pPr>
      <w:r>
        <w:rPr>
          <w:bCs/>
          <w:b/>
        </w:rPr>
        <w:t xml:space="preserve">Reviewer:</w:t>
      </w:r>
      <w:r>
        <w:t xml:space="preserve"> </w:t>
      </w:r>
      <w:r>
        <w:t xml:space="preserve">[Name of Peer Reviewer]</w:t>
      </w:r>
    </w:p>
    <w:bookmarkStart w:id="21" w:name="introduction-and-scope"/>
    <w:p>
      <w:pPr>
        <w:pStyle w:val="Heading2"/>
      </w:pPr>
      <w:r>
        <w:t xml:space="preserve">1. Introduction and Scope</w:t>
      </w:r>
    </w:p>
    <w:p>
      <w:pPr>
        <w:pStyle w:val="FirstParagraph"/>
      </w:pPr>
      <w:r>
        <w:t xml:space="preserve">This Peer Review Report has been prepared in accordance with the International Standard on Quality Control (ISQC) 1 and the specific regulatory requirements established by the Superintendencia de Sociedades of Colombia. The purpose of this review is to evaluate the effectiveness of the quality control system implemented by the Auditor entity located in Medellín.</w:t>
      </w:r>
    </w:p>
    <w:p>
      <w:pPr>
        <w:pStyle w:val="BodyText"/>
      </w:pPr>
      <w:r>
        <w:t xml:space="preserve">As a leading financial hub in Colombia, Medellín demands a high standard of auditing rigor. This review assesses whether the firm’s policies and procedures are designed to provide it with reasonable assurance that the firm and its personnel comply with professional standards and regulatory requirements, and that the reports issued by the firm or engagement partners are appropriate in the circumstances. The scope of this review covers the firm’s system of quality control, including leadership responsibilities, ethical requirements, acceptance and continuance of client relationships, human resources, engagement performance, and monitoring.</w:t>
      </w:r>
    </w:p>
    <w:bookmarkEnd w:id="21"/>
    <w:bookmarkStart w:id="22" w:name="regulatory-context-colombia-and-medellín"/>
    <w:p>
      <w:pPr>
        <w:pStyle w:val="Heading2"/>
      </w:pPr>
      <w:r>
        <w:t xml:space="preserve">2. Regulatory Context: Colombia and Medellín</w:t>
      </w:r>
    </w:p>
    <w:p>
      <w:pPr>
        <w:pStyle w:val="FirstParagraph"/>
      </w:pPr>
      <w:r>
        <w:t xml:space="preserve">The audit environment in Colombia is governed by strict regulations aimed at ensuring transparency and integrity in financial reporting. The Auditor under review operates within the dynamic economic landscape of Medellín, serving a diverse clientele ranging from manufacturing and technology sectors to financial institutions.</w:t>
      </w:r>
    </w:p>
    <w:p>
      <w:pPr>
        <w:pStyle w:val="BodyText"/>
      </w:pPr>
      <w:r>
        <w:t xml:space="preserve">Compliance with the Colombian Commercial Code and the technical standards issued by the Federación de Contadores Públicos de Colombia (FEC) is mandatory. Furthermore, the firm must adhere to the guidelines set forth by the Superintendencia de Sociedades regarding the independence and objectivity of the Auditor. This Peer Review Report specifically examines how the firm integrates these national mandates into its local operations in Medellín, ensuring that the quality of audits meets both international expectations and local legal obligations.</w:t>
      </w:r>
    </w:p>
    <w:bookmarkEnd w:id="22"/>
    <w:bookmarkStart w:id="29" w:name="evaluation-of-quality-control-elements"/>
    <w:p>
      <w:pPr>
        <w:pStyle w:val="Heading2"/>
      </w:pPr>
      <w:r>
        <w:t xml:space="preserve">3. Evaluation of Quality Control Elements</w:t>
      </w:r>
    </w:p>
    <w:bookmarkStart w:id="23" w:name="leadership-responsibilities-for-quality"/>
    <w:p>
      <w:pPr>
        <w:pStyle w:val="Heading3"/>
      </w:pPr>
      <w:r>
        <w:t xml:space="preserve">3.1 Leadership Responsibilities for Quality</w:t>
      </w:r>
    </w:p>
    <w:p>
      <w:pPr>
        <w:pStyle w:val="FirstParagraph"/>
      </w:pPr>
      <w:r>
        <w:t xml:space="preserve">The review confirms that the firm’s leadership in Medellín has established a clear "tone at the top" regarding the importance of quality. The managing partners have demonstrated a commitment to quality over commercial interests. However, it was noted that communication regarding quality objectives could be more frequent across all levels of the staff, particularly for junior auditors working on complex engagements in the region.</w:t>
      </w:r>
    </w:p>
    <w:bookmarkEnd w:id="23"/>
    <w:bookmarkStart w:id="24" w:name="ethical-requirements"/>
    <w:p>
      <w:pPr>
        <w:pStyle w:val="Heading3"/>
      </w:pPr>
      <w:r>
        <w:t xml:space="preserve">3.2 Ethical Requirements</w:t>
      </w:r>
    </w:p>
    <w:p>
      <w:pPr>
        <w:pStyle w:val="FirstParagraph"/>
      </w:pPr>
      <w:r>
        <w:t xml:space="preserve">The firm has implemented robust policies to ensure compliance with the Code of Ethics for Professional Accountants. The review focused on independence, a critical aspect for any Auditor in Colombia. The firm maintains a comprehensive independence database.</w:t>
      </w:r>
    </w:p>
    <w:p>
      <w:pPr>
        <w:pStyle w:val="BodyText"/>
      </w:pPr>
      <w:r>
        <w:rPr>
          <w:bCs/>
          <w:b/>
        </w:rPr>
        <w:t xml:space="preserve">Observation:</w:t>
      </w:r>
      <w:r>
        <w:t xml:space="preserve"> </w:t>
      </w:r>
      <w:r>
        <w:t xml:space="preserve">While the independence declarations are signed annually, the firm should enhance its training on identifying non-audit services that may impair independence, specifically regarding related-party transactions common in Colombian corporate structures.</w:t>
      </w:r>
    </w:p>
    <w:bookmarkEnd w:id="24"/>
    <w:bookmarkStart w:id="25" w:name="Xed529ca1b04c137b45b32787744cc0dc2ea0025"/>
    <w:p>
      <w:pPr>
        <w:pStyle w:val="Heading3"/>
      </w:pPr>
      <w:r>
        <w:t xml:space="preserve">3.3 Acceptance and Continuance of Client Relationships</w:t>
      </w:r>
    </w:p>
    <w:p>
      <w:pPr>
        <w:pStyle w:val="FirstParagraph"/>
      </w:pPr>
      <w:r>
        <w:t xml:space="preserve">The procedures for accepting new clients in the Medellín market are rigorous. The firm assesses the integrity of prospective clients and evaluates its own competence to perform the audit. The review found that the firm effectively screens for risks associated with money laundering and corruption, aligning with Colombian anti-corruption laws.</w:t>
      </w:r>
    </w:p>
    <w:bookmarkEnd w:id="25"/>
    <w:bookmarkStart w:id="26" w:name="human-resources"/>
    <w:p>
      <w:pPr>
        <w:pStyle w:val="Heading3"/>
      </w:pPr>
      <w:r>
        <w:t xml:space="preserve">3.4 Human Resources</w:t>
      </w:r>
    </w:p>
    <w:p>
      <w:pPr>
        <w:pStyle w:val="FirstParagraph"/>
      </w:pPr>
      <w:r>
        <w:t xml:space="preserve">The firm employs a qualified team of auditors in Medellín. The review assessed the recruitment, training, and performance evaluation processes. The firm provides regular training on International Financial Reporting Standards (IFRS) and Colombian tax regulations.</w:t>
      </w:r>
    </w:p>
    <w:p>
      <w:pPr>
        <w:numPr>
          <w:ilvl w:val="0"/>
          <w:numId w:val="1001"/>
        </w:numPr>
        <w:pStyle w:val="Compact"/>
      </w:pPr>
      <w:r>
        <w:t xml:space="preserve">Staffing levels are adequate for the current workload.</w:t>
      </w:r>
    </w:p>
    <w:p>
      <w:pPr>
        <w:numPr>
          <w:ilvl w:val="0"/>
          <w:numId w:val="1001"/>
        </w:numPr>
        <w:pStyle w:val="Compact"/>
      </w:pPr>
      <w:r>
        <w:t xml:space="preserve">Continuing Professional Development (CPD) hours are tracked and meet FEC requirements.</w:t>
      </w:r>
    </w:p>
    <w:p>
      <w:pPr>
        <w:numPr>
          <w:ilvl w:val="0"/>
          <w:numId w:val="1001"/>
        </w:numPr>
        <w:pStyle w:val="Compact"/>
      </w:pPr>
      <w:r>
        <w:t xml:space="preserve">There is a need to strengthen the mentorship program for senior auditors preparing for partner roles.</w:t>
      </w:r>
    </w:p>
    <w:bookmarkEnd w:id="26"/>
    <w:bookmarkStart w:id="27" w:name="engagement-performance"/>
    <w:p>
      <w:pPr>
        <w:pStyle w:val="Heading3"/>
      </w:pPr>
      <w:r>
        <w:t xml:space="preserve">3.5 Engagement Performance</w:t>
      </w:r>
    </w:p>
    <w:p>
      <w:pPr>
        <w:pStyle w:val="FirstParagraph"/>
      </w:pPr>
      <w:r>
        <w:t xml:space="preserve">The core of this Peer Review Report focuses on the execution of audit engagements. A sample of audit files was selected to evaluate compliance with International Standards on Auditing (ISA). The review examined the documentation of risk assessment, internal control testing, and substantive procedures.</w:t>
      </w:r>
    </w:p>
    <w:p>
      <w:pPr>
        <w:pStyle w:val="BodyText"/>
      </w:pPr>
      <w:r>
        <w:t xml:space="preserve">The Auditor demonstrated a strong understanding of the business environments of their clients in Medellín. However, some files lacked sufficient documentation regarding the evaluation of management’s estimates and judgments.</w:t>
      </w:r>
    </w:p>
    <w:p>
      <w:pPr>
        <w:pStyle w:val="BodyText"/>
      </w:pPr>
      <w:r>
        <w:rPr>
          <w:bCs/>
          <w:b/>
        </w:rPr>
        <w:t xml:space="preserve">Recommendation:</w:t>
      </w:r>
      <w:r>
        <w:t xml:space="preserve"> </w:t>
      </w:r>
      <w:r>
        <w:t xml:space="preserve">The firm should implement a standardized checklist for documenting the review of significant accounting estimates to ensure consistency across all engagements.</w:t>
      </w:r>
    </w:p>
    <w:bookmarkEnd w:id="27"/>
    <w:bookmarkStart w:id="28" w:name="monitoring"/>
    <w:p>
      <w:pPr>
        <w:pStyle w:val="Heading3"/>
      </w:pPr>
      <w:r>
        <w:t xml:space="preserve">3.6 Monitoring</w:t>
      </w:r>
    </w:p>
    <w:p>
      <w:pPr>
        <w:pStyle w:val="FirstParagraph"/>
      </w:pPr>
      <w:r>
        <w:t xml:space="preserve">The firm has a monitoring process in place to provide reasonable assurance that its quality control policies are operating effectively. This includes periodic reviews of completed engagements. The results of these monitoring activities are communicated to relevant personnel. The review found that remedial actions are taken when deficiencies are identified, although the tracking of these actions could be more systematic.</w:t>
      </w:r>
    </w:p>
    <w:bookmarkEnd w:id="28"/>
    <w:bookmarkEnd w:id="29"/>
    <w:bookmarkStart w:id="30" w:name="conclusion"/>
    <w:p>
      <w:pPr>
        <w:pStyle w:val="Heading2"/>
      </w:pPr>
      <w:r>
        <w:t xml:space="preserve">4. Conclusion</w:t>
      </w:r>
    </w:p>
    <w:p>
      <w:pPr>
        <w:pStyle w:val="FirstParagraph"/>
      </w:pPr>
      <w:r>
        <w:t xml:space="preserve">Based on the procedures performed and evidence obtained, the Peer Review Report concludes that the Auditor entity operating in Medellín, Colombia, has a system of quality control that is generally effective and compliant with applicable professional standards and regulatory requirements.</w:t>
      </w:r>
    </w:p>
    <w:p>
      <w:pPr>
        <w:pStyle w:val="BodyText"/>
      </w:pPr>
      <w:r>
        <w:t xml:space="preserve">While the firm demonstrates a strong commitment to quality and ethical conduct, there are areas for improvement, particularly in the documentation of audit evidence and the training on independence issues. The firm is encouraged to implement the recommendations outlined in this report to further enhance the quality of its audit services and maintain the trust of stakeholders in the Colombian market.</w:t>
      </w:r>
    </w:p>
    <w:p>
      <w:pPr>
        <w:pStyle w:val="BodyText"/>
      </w:pPr>
      <w:r>
        <w:rPr>
          <w:bCs/>
          <w:b/>
        </w:rPr>
        <w:t xml:space="preserve">Overall Rating:</w:t>
      </w:r>
      <w:r>
        <w:t xml:space="preserve"> </w:t>
      </w:r>
      <w:r>
        <w:t xml:space="preserve">Satisfactory with Recommendations.</w:t>
      </w:r>
    </w:p>
    <w:p>
      <w:pPr>
        <w:pStyle w:val="BodyText"/>
      </w:pPr>
      <w:r>
        <w:t xml:space="preserve">This document is confidential and intended solely for the use of the addressee. Unauthorized distribution is prohibited.</w:t>
      </w:r>
    </w:p>
    <w:p>
      <w:pPr>
        <w:pStyle w:val="BodyText"/>
      </w:pPr>
      <w:r>
        <w:t xml:space="preserve">Generated for Peer Review Purposes - Medellín, Colombia.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Audit Firm - Medellín, Colombia</dc:title>
  <dc:creator/>
  <dc:language>en</dc:language>
  <cp:keywords/>
  <dcterms:created xsi:type="dcterms:W3CDTF">2026-10-10T08:52:53Z</dcterms:created>
  <dcterms:modified xsi:type="dcterms:W3CDTF">2026-10-10T08:52:53Z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