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Independent Quality Assurance Assessment</w:t>
      </w:r>
    </w:p>
    <w:bookmarkEnd w:id="20"/>
    <w:p>
      <w:pPr>
        <w:pStyle w:val="BodyText"/>
      </w:pPr>
      <w:r>
        <w:rPr>
          <w:bCs/>
          <w:b/>
        </w:rPr>
        <w:t xml:space="preserve">Report Reference:</w:t>
      </w:r>
      <w:r>
        <w:t xml:space="preserve"> </w:t>
      </w:r>
      <w:r>
        <w:t xml:space="preserve">PR-EGY-2023-089</w:t>
      </w:r>
    </w:p>
    <w:p>
      <w:pPr>
        <w:pStyle w:val="BodyText"/>
      </w:pPr>
      <w:r>
        <w:rPr>
          <w:bCs/>
          <w:b/>
        </w:rPr>
        <w:t xml:space="preserve">Date of Issue:</w:t>
      </w:r>
      <w:r>
        <w:t xml:space="preserve"> </w:t>
      </w:r>
      <w:r>
        <w:t xml:space="preserve">October 24, 2023</w:t>
      </w:r>
    </w:p>
    <w:p>
      <w:pPr>
        <w:pStyle w:val="BodyText"/>
      </w:pPr>
      <w:r>
        <w:rPr>
          <w:bCs/>
          <w:b/>
        </w:rPr>
        <w:t xml:space="preserve">Subject Auditor:</w:t>
      </w:r>
      <w:r>
        <w:t xml:space="preserve"> </w:t>
      </w:r>
      <w:r>
        <w:t xml:space="preserve">Ahmed Hassan (Senior Audit Manager)</w:t>
      </w:r>
    </w:p>
    <w:p>
      <w:pPr>
        <w:pStyle w:val="BodyText"/>
      </w:pPr>
      <w:r>
        <w:rPr>
          <w:bCs/>
          <w:b/>
        </w:rPr>
        <w:t xml:space="preserve">Firm Location:</w:t>
      </w:r>
      <w:r>
        <w:t xml:space="preserve"> </w:t>
      </w:r>
      <w:r>
        <w:t xml:space="preserve">Egypt Cairo, New Cairo District</w:t>
      </w:r>
    </w:p>
    <w:p>
      <w:pPr>
        <w:pStyle w:val="BodyText"/>
      </w:pPr>
      <w:r>
        <w:rPr>
          <w:bCs/>
          <w:b/>
        </w:rPr>
        <w:t xml:space="preserve">Reviewer:</w:t>
      </w:r>
      <w:r>
        <w:t xml:space="preserve"> </w:t>
      </w:r>
      <w:r>
        <w:t xml:space="preserve">Dr. Sarah El-Masry (Lead Reviewer)</w:t>
      </w:r>
    </w:p>
    <w:p>
      <w:pPr>
        <w:pStyle w:val="BodyText"/>
      </w:pPr>
      <w:r>
        <w:rPr>
          <w:bCs/>
          <w:b/>
        </w:rPr>
        <w:t xml:space="preserve">Review Period:</w:t>
      </w:r>
      <w:r>
        <w:t xml:space="preserve"> </w:t>
      </w:r>
      <w:r>
        <w:t xml:space="preserve">Q3 2023</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prepared to evaluate the professional competence, ethical adherence, and technical performance of the</w:t>
      </w:r>
      <w:r>
        <w:t xml:space="preserve"> </w:t>
      </w:r>
      <w:r>
        <w:rPr>
          <w:bCs/>
          <w:b/>
        </w:rPr>
        <w:t xml:space="preserve">Auditor</w:t>
      </w:r>
      <w:r>
        <w:t xml:space="preserve">, Mr. Ahmed Hassan, operating within the jurisdiction of</w:t>
      </w:r>
      <w:r>
        <w:t xml:space="preserve"> </w:t>
      </w:r>
      <w:r>
        <w:rPr>
          <w:bCs/>
          <w:b/>
        </w:rPr>
        <w:t xml:space="preserve">Egypt Cairo</w:t>
      </w:r>
      <w:r>
        <w:t xml:space="preserve">. The primary objective of this review is to ensure that the audit engagements conducted by the subject Auditor align with the Egyptian Auditing Standards (EAS), which are substantially converged with the International Standards on Auditing (ISA). Furthermore, this assessment verifies compliance with the regulations set forth by the Egyptian Organization for Accreditation (EOA) and the Egyptian Association of Certified Public Accountants (EACPA).</w:t>
      </w:r>
    </w:p>
    <w:p>
      <w:pPr>
        <w:pStyle w:val="BodyText"/>
      </w:pPr>
      <w:r>
        <w:t xml:space="preserve">The review covers a sample of financial statement audits performed during the third quarter of 2023. The scope included an examination of audit planning, risk assessment procedures, internal control testing, substantive testing, and the finalization of audit reports. The overall conclusion of this</w:t>
      </w:r>
      <w:r>
        <w:t xml:space="preserve"> </w:t>
      </w:r>
      <w:r>
        <w:rPr>
          <w:bCs/>
          <w:b/>
        </w:rPr>
        <w:t xml:space="preserve">Peer Review Report</w:t>
      </w:r>
      <w:r>
        <w:t xml:space="preserve"> </w:t>
      </w:r>
      <w:r>
        <w:t xml:space="preserve">is that the</w:t>
      </w:r>
      <w:r>
        <w:t xml:space="preserve"> </w:t>
      </w:r>
      <w:r>
        <w:rPr>
          <w:bCs/>
          <w:b/>
        </w:rPr>
        <w:t xml:space="preserve">Auditor</w:t>
      </w:r>
      <w:r>
        <w:t xml:space="preserve"> </w:t>
      </w:r>
      <w:r>
        <w:t xml:space="preserve">demonstrates a high level of professional skepticism and technical proficiency, although specific areas regarding documentation of local tax compliance in</w:t>
      </w:r>
      <w:r>
        <w:t xml:space="preserve"> </w:t>
      </w:r>
      <w:r>
        <w:rPr>
          <w:bCs/>
          <w:b/>
        </w:rPr>
        <w:t xml:space="preserve">Egypt Cairo</w:t>
      </w:r>
      <w:r>
        <w:t xml:space="preserve"> </w:t>
      </w:r>
      <w:r>
        <w:t xml:space="preserve">require minor enhancements.</w:t>
      </w:r>
    </w:p>
    <w:bookmarkEnd w:id="21"/>
    <w:bookmarkStart w:id="22" w:name="scope-and-methodology"/>
    <w:p>
      <w:pPr>
        <w:pStyle w:val="Heading2"/>
      </w:pPr>
      <w:r>
        <w:t xml:space="preserve">2. Scope and Methodology</w:t>
      </w:r>
    </w:p>
    <w:p>
      <w:pPr>
        <w:pStyle w:val="FirstParagraph"/>
      </w:pPr>
      <w:r>
        <w:t xml:space="preserve">The methodology employed for this</w:t>
      </w:r>
      <w:r>
        <w:t xml:space="preserve"> </w:t>
      </w:r>
      <w:r>
        <w:rPr>
          <w:bCs/>
          <w:b/>
        </w:rPr>
        <w:t xml:space="preserve">Peer Review Report</w:t>
      </w:r>
      <w:r>
        <w:t xml:space="preserve"> </w:t>
      </w:r>
      <w:r>
        <w:t xml:space="preserve">involved a comprehensive desk review of selected audit files. The selection criteria prioritized engagements with higher inherent risks and those involving entities based in the Greater Cairo area. The review team analyzed the work papers to determine if the</w:t>
      </w:r>
      <w:r>
        <w:t xml:space="preserve"> </w:t>
      </w:r>
      <w:r>
        <w:rPr>
          <w:bCs/>
          <w:b/>
        </w:rPr>
        <w:t xml:space="preserve">Auditor</w:t>
      </w:r>
      <w:r>
        <w:t xml:space="preserve"> </w:t>
      </w:r>
      <w:r>
        <w:t xml:space="preserve">obtained sufficient appropriate audit evidence to support the opinions expressed.</w:t>
      </w:r>
    </w:p>
    <w:p>
      <w:pPr>
        <w:pStyle w:val="BodyText"/>
      </w:pPr>
      <w:r>
        <w:t xml:space="preserve">Special attention was paid to the application of local statutory requirements specific to</w:t>
      </w:r>
      <w:r>
        <w:t xml:space="preserve"> </w:t>
      </w:r>
      <w:r>
        <w:rPr>
          <w:bCs/>
          <w:b/>
        </w:rPr>
        <w:t xml:space="preserve">Egypt Cairo</w:t>
      </w:r>
      <w:r>
        <w:t xml:space="preserve">, including the proper verification of VAT filings, corporate income tax provisions, and adherence to the Egyptian Companies Law. The review also assessed the</w:t>
      </w:r>
      <w:r>
        <w:t xml:space="preserve"> </w:t>
      </w:r>
      <w:r>
        <w:rPr>
          <w:bCs/>
          <w:b/>
        </w:rPr>
        <w:t xml:space="preserve">Auditor</w:t>
      </w:r>
      <w:r>
        <w:t xml:space="preserve">'s adherence to the Code of Ethics for Professional Accountants, specifically focusing on independence and objectivity.</w:t>
      </w:r>
    </w:p>
    <w:bookmarkEnd w:id="22"/>
    <w:bookmarkStart w:id="23" w:name="evaluation-of-professional-competence"/>
    <w:p>
      <w:pPr>
        <w:pStyle w:val="Heading2"/>
      </w:pPr>
      <w:r>
        <w:t xml:space="preserve">3. Evaluation of Professional Competence</w:t>
      </w:r>
    </w:p>
    <w:p>
      <w:pPr>
        <w:pStyle w:val="FirstParagraph"/>
      </w:pPr>
      <w:r>
        <w:t xml:space="preserve">The</w:t>
      </w:r>
      <w:r>
        <w:t xml:space="preserve"> </w:t>
      </w:r>
      <w:r>
        <w:rPr>
          <w:bCs/>
          <w:b/>
        </w:rPr>
        <w:t xml:space="preserve">Auditor</w:t>
      </w:r>
      <w:r>
        <w:t xml:space="preserve"> </w:t>
      </w:r>
      <w:r>
        <w:t xml:space="preserve">has demonstrated a robust understanding of the financial reporting frameworks applicable in Egypt. The review found that the</w:t>
      </w:r>
      <w:r>
        <w:t xml:space="preserve"> </w:t>
      </w:r>
      <w:r>
        <w:rPr>
          <w:bCs/>
          <w:b/>
        </w:rPr>
        <w:t xml:space="preserve">Auditor</w:t>
      </w:r>
      <w:r>
        <w:t xml:space="preserve"> </w:t>
      </w:r>
      <w:r>
        <w:t xml:space="preserve">correctly applied the Egyptian Financial Reporting Standards (EFRS) in the review of financial statements. The technical memos prepared by the</w:t>
      </w:r>
      <w:r>
        <w:t xml:space="preserve"> </w:t>
      </w:r>
      <w:r>
        <w:rPr>
          <w:bCs/>
          <w:b/>
        </w:rPr>
        <w:t xml:space="preserve">Auditor</w:t>
      </w:r>
      <w:r>
        <w:t xml:space="preserve"> </w:t>
      </w:r>
      <w:r>
        <w:t xml:space="preserve">regarding complex revenue recognition issues were well-reasoned and supported by relevant standards.</w:t>
      </w:r>
    </w:p>
    <w:p>
      <w:pPr>
        <w:pStyle w:val="BodyText"/>
      </w:pPr>
      <w:r>
        <w:t xml:space="preserve">In the context of</w:t>
      </w:r>
      <w:r>
        <w:t xml:space="preserve"> </w:t>
      </w:r>
      <w:r>
        <w:rPr>
          <w:bCs/>
          <w:b/>
        </w:rPr>
        <w:t xml:space="preserve">Egypt Cairo</w:t>
      </w:r>
      <w:r>
        <w:t xml:space="preserve">'s dynamic economic environment, the</w:t>
      </w:r>
      <w:r>
        <w:t xml:space="preserve"> </w:t>
      </w:r>
      <w:r>
        <w:rPr>
          <w:bCs/>
          <w:b/>
        </w:rPr>
        <w:t xml:space="preserve">Auditor</w:t>
      </w:r>
      <w:r>
        <w:t xml:space="preserve"> </w:t>
      </w:r>
      <w:r>
        <w:t xml:space="preserve">showed adaptability in assessing the impact of currency fluctuations and inflation on the audited entities. The risk assessment procedures were thorough, identifying key risks related to liquidity and regulatory compliance. The</w:t>
      </w:r>
      <w:r>
        <w:t xml:space="preserve"> </w:t>
      </w:r>
      <w:r>
        <w:rPr>
          <w:bCs/>
          <w:b/>
        </w:rPr>
        <w:t xml:space="preserve">Auditor</w:t>
      </w:r>
      <w:r>
        <w:t xml:space="preserve"> </w:t>
      </w:r>
      <w:r>
        <w:t xml:space="preserve">effectively utilized data analytics tools to test populations of transactions, which enhanced the efficiency and effectiveness of the audit process.</w:t>
      </w:r>
    </w:p>
    <w:bookmarkEnd w:id="23"/>
    <w:bookmarkStart w:id="24" w:name="compliance-with-ethical-standards"/>
    <w:p>
      <w:pPr>
        <w:pStyle w:val="Heading2"/>
      </w:pPr>
      <w:r>
        <w:t xml:space="preserve">4. Compliance with Ethical Standards</w:t>
      </w:r>
    </w:p>
    <w:p>
      <w:pPr>
        <w:pStyle w:val="FirstParagraph"/>
      </w:pPr>
      <w:r>
        <w:t xml:space="preserve">A critical component of this</w:t>
      </w:r>
      <w:r>
        <w:t xml:space="preserve"> </w:t>
      </w:r>
      <w:r>
        <w:rPr>
          <w:bCs/>
          <w:b/>
        </w:rPr>
        <w:t xml:space="preserve">Peer Review Report</w:t>
      </w:r>
      <w:r>
        <w:t xml:space="preserve"> </w:t>
      </w:r>
      <w:r>
        <w:t xml:space="preserve">is the assessment of ethical compliance. The</w:t>
      </w:r>
      <w:r>
        <w:t xml:space="preserve"> </w:t>
      </w:r>
      <w:r>
        <w:rPr>
          <w:bCs/>
          <w:b/>
        </w:rPr>
        <w:t xml:space="preserve">Auditor</w:t>
      </w:r>
      <w:r>
        <w:t xml:space="preserve"> </w:t>
      </w:r>
      <w:r>
        <w:t xml:space="preserve">maintained strict independence throughout the engagements reviewed. There were no conflicts of interest identified, and the</w:t>
      </w:r>
      <w:r>
        <w:t xml:space="preserve"> </w:t>
      </w:r>
      <w:r>
        <w:rPr>
          <w:bCs/>
          <w:b/>
        </w:rPr>
        <w:t xml:space="preserve">Auditor</w:t>
      </w:r>
      <w:r>
        <w:t xml:space="preserve"> </w:t>
      </w:r>
      <w:r>
        <w:t xml:space="preserve">properly documented the independence declarations of the audit team members.</w:t>
      </w:r>
    </w:p>
    <w:p>
      <w:pPr>
        <w:pStyle w:val="BodyText"/>
      </w:pPr>
      <w:r>
        <w:t xml:space="preserve">The</w:t>
      </w:r>
      <w:r>
        <w:t xml:space="preserve"> </w:t>
      </w:r>
      <w:r>
        <w:rPr>
          <w:bCs/>
          <w:b/>
        </w:rPr>
        <w:t xml:space="preserve">Auditor</w:t>
      </w:r>
      <w:r>
        <w:t xml:space="preserve"> </w:t>
      </w:r>
      <w:r>
        <w:t xml:space="preserve">adhered to the confidentiality requirements mandated by the EACPA. Client information was handled securely, and access to sensitive data was restricted to authorized personnel only. The review confirms that the</w:t>
      </w:r>
      <w:r>
        <w:t xml:space="preserve"> </w:t>
      </w:r>
      <w:r>
        <w:rPr>
          <w:bCs/>
          <w:b/>
        </w:rPr>
        <w:t xml:space="preserve">Auditor</w:t>
      </w:r>
      <w:r>
        <w:t xml:space="preserve"> </w:t>
      </w:r>
      <w:r>
        <w:t xml:space="preserve">upholds the integrity and professional behavior expected of a practitioner in</w:t>
      </w:r>
      <w:r>
        <w:t xml:space="preserve"> </w:t>
      </w:r>
      <w:r>
        <w:rPr>
          <w:bCs/>
          <w:b/>
        </w:rPr>
        <w:t xml:space="preserve">Egypt Cairo</w:t>
      </w:r>
      <w:r>
        <w:t xml:space="preserve">.</w:t>
      </w:r>
    </w:p>
    <w:bookmarkEnd w:id="24"/>
    <w:bookmarkStart w:id="25" w:name="quality-of-audit-documentation"/>
    <w:p>
      <w:pPr>
        <w:pStyle w:val="Heading2"/>
      </w:pPr>
      <w:r>
        <w:t xml:space="preserve">5. Quality of Audit Documentation</w:t>
      </w:r>
    </w:p>
    <w:p>
      <w:pPr>
        <w:pStyle w:val="FirstParagraph"/>
      </w:pPr>
      <w:r>
        <w:t xml:space="preserve">The quality of the audit documentation was generally high. The work papers were organized logically, cross-referenced accurately, and provided a clear trail of the audit procedures performed. However, this</w:t>
      </w:r>
      <w:r>
        <w:t xml:space="preserve"> </w:t>
      </w:r>
      <w:r>
        <w:rPr>
          <w:bCs/>
          <w:b/>
        </w:rPr>
        <w:t xml:space="preserve">Peer Review Report</w:t>
      </w:r>
      <w:r>
        <w:t xml:space="preserve"> </w:t>
      </w:r>
      <w:r>
        <w:t xml:space="preserve">notes a few areas for improvement. Specifically, the documentation regarding the testing of internal controls over financial reporting could be more detailed.</w:t>
      </w:r>
    </w:p>
    <w:p>
      <w:pPr>
        <w:pStyle w:val="BodyText"/>
      </w:pPr>
      <w:r>
        <w:t xml:space="preserve">Additionally, while the</w:t>
      </w:r>
      <w:r>
        <w:t xml:space="preserve"> </w:t>
      </w:r>
      <w:r>
        <w:rPr>
          <w:bCs/>
          <w:b/>
        </w:rPr>
        <w:t xml:space="preserve">Auditor</w:t>
      </w:r>
      <w:r>
        <w:t xml:space="preserve"> </w:t>
      </w:r>
      <w:r>
        <w:t xml:space="preserve">adequately addressed financial statement assertions, the documentation of the review of local municipal taxes and specific Cairo-based regulatory fees was somewhat sparse. To ensure full defensibility in the event of a regulatory inquiry in</w:t>
      </w:r>
      <w:r>
        <w:t xml:space="preserve"> </w:t>
      </w:r>
      <w:r>
        <w:rPr>
          <w:bCs/>
          <w:b/>
        </w:rPr>
        <w:t xml:space="preserve">Egypt Cairo</w:t>
      </w:r>
      <w:r>
        <w:t xml:space="preserve">, the</w:t>
      </w:r>
      <w:r>
        <w:t xml:space="preserve"> </w:t>
      </w:r>
      <w:r>
        <w:rPr>
          <w:bCs/>
          <w:b/>
        </w:rPr>
        <w:t xml:space="preserve">Auditor</w:t>
      </w:r>
      <w:r>
        <w:t xml:space="preserve"> </w:t>
      </w:r>
      <w:r>
        <w:t xml:space="preserve">should ensure that all local statutory checks are explicitly documented with supporting evidence.</w:t>
      </w:r>
    </w:p>
    <w:bookmarkEnd w:id="25"/>
    <w:bookmarkStart w:id="26" w:name="findings-and-recommendations"/>
    <w:p>
      <w:pPr>
        <w:pStyle w:val="Heading2"/>
      </w:pPr>
      <w:r>
        <w:t xml:space="preserve">6. Findings and Recommendations</w:t>
      </w:r>
    </w:p>
    <w:p>
      <w:pPr>
        <w:pStyle w:val="FirstParagraph"/>
      </w:pPr>
      <w:r>
        <w:t xml:space="preserve">Based on the evidence gathered, the following findings and recommendations are presented in this</w:t>
      </w:r>
      <w:r>
        <w:t xml:space="preserve"> </w:t>
      </w:r>
      <w:r>
        <w:rPr>
          <w:bCs/>
          <w:b/>
        </w:rPr>
        <w:t xml:space="preserve">Peer Review Report</w:t>
      </w:r>
      <w:r>
        <w:t xml:space="preserve">:</w:t>
      </w:r>
    </w:p>
    <w:p>
      <w:pPr>
        <w:numPr>
          <w:ilvl w:val="0"/>
          <w:numId w:val="1001"/>
        </w:numPr>
        <w:pStyle w:val="Compact"/>
      </w:pPr>
      <w:r>
        <w:rPr>
          <w:bCs/>
          <w:b/>
        </w:rPr>
        <w:t xml:space="preserve">Strength:</w:t>
      </w:r>
      <w:r>
        <w:t xml:space="preserve"> </w:t>
      </w:r>
      <w:r>
        <w:t xml:space="preserve">The</w:t>
      </w:r>
      <w:r>
        <w:t xml:space="preserve"> </w:t>
      </w:r>
      <w:r>
        <w:rPr>
          <w:bCs/>
          <w:b/>
        </w:rPr>
        <w:t xml:space="preserve">Auditor</w:t>
      </w:r>
      <w:r>
        <w:t xml:space="preserve"> </w:t>
      </w:r>
      <w:r>
        <w:t xml:space="preserve">exhibits excellent technical knowledge of EFRS and ISA, ensuring high-quality financial reporting for clients in</w:t>
      </w:r>
      <w:r>
        <w:t xml:space="preserve"> </w:t>
      </w:r>
      <w:r>
        <w:rPr>
          <w:bCs/>
          <w:b/>
        </w:rPr>
        <w:t xml:space="preserve">Egypt Cairo</w:t>
      </w:r>
      <w:r>
        <w:t xml:space="preserve">.</w:t>
      </w:r>
    </w:p>
    <w:p>
      <w:pPr>
        <w:numPr>
          <w:ilvl w:val="0"/>
          <w:numId w:val="1001"/>
        </w:numPr>
        <w:pStyle w:val="Compact"/>
      </w:pPr>
      <w:r>
        <w:rPr>
          <w:bCs/>
          <w:b/>
        </w:rPr>
        <w:t xml:space="preserve">Strength:</w:t>
      </w:r>
      <w:r>
        <w:t xml:space="preserve"> </w:t>
      </w:r>
      <w:r>
        <w:t xml:space="preserve">Strong professional skepticism was observed during the confirmation of receivables and inventory counts.</w:t>
      </w:r>
    </w:p>
    <w:p>
      <w:pPr>
        <w:numPr>
          <w:ilvl w:val="0"/>
          <w:numId w:val="1001"/>
        </w:numPr>
        <w:pStyle w:val="Compact"/>
      </w:pPr>
      <w:r>
        <w:rPr>
          <w:bCs/>
          <w:b/>
        </w:rPr>
        <w:t xml:space="preserve">Recommendation:</w:t>
      </w:r>
      <w:r>
        <w:t xml:space="preserve"> </w:t>
      </w:r>
      <w:r>
        <w:t xml:space="preserve">The</w:t>
      </w:r>
      <w:r>
        <w:t xml:space="preserve"> </w:t>
      </w:r>
      <w:r>
        <w:rPr>
          <w:bCs/>
          <w:b/>
        </w:rPr>
        <w:t xml:space="preserve">Auditor</w:t>
      </w:r>
      <w:r>
        <w:t xml:space="preserve"> </w:t>
      </w:r>
      <w:r>
        <w:t xml:space="preserve">should enhance the documentation of local tax compliance procedures to align with the specific scrutiny often applied by Egyptian tax authorities.</w:t>
      </w:r>
    </w:p>
    <w:p>
      <w:pPr>
        <w:numPr>
          <w:ilvl w:val="0"/>
          <w:numId w:val="1001"/>
        </w:numPr>
        <w:pStyle w:val="Compact"/>
      </w:pPr>
      <w:r>
        <w:rPr>
          <w:bCs/>
          <w:b/>
        </w:rPr>
        <w:t xml:space="preserve">Recommendation:</w:t>
      </w:r>
      <w:r>
        <w:t xml:space="preserve"> </w:t>
      </w:r>
      <w:r>
        <w:t xml:space="preserve">It is recommended that the</w:t>
      </w:r>
      <w:r>
        <w:t xml:space="preserve"> </w:t>
      </w:r>
      <w:r>
        <w:rPr>
          <w:bCs/>
          <w:b/>
        </w:rPr>
        <w:t xml:space="preserve">Auditor</w:t>
      </w:r>
      <w:r>
        <w:t xml:space="preserve"> </w:t>
      </w:r>
      <w:r>
        <w:t xml:space="preserve">participate in advanced training workshops regarding the latest amendments to the Egyptian Companies Law to maintain continuous professional development.</w:t>
      </w:r>
    </w:p>
    <w:bookmarkEnd w:id="26"/>
    <w:bookmarkStart w:id="27"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Auditor</w:t>
      </w:r>
      <w:r>
        <w:t xml:space="preserve"> </w:t>
      </w:r>
      <w:r>
        <w:t xml:space="preserve">is performing audit services in accordance with professional standards and ethical requirements. The</w:t>
      </w:r>
      <w:r>
        <w:t xml:space="preserve"> </w:t>
      </w:r>
      <w:r>
        <w:rPr>
          <w:bCs/>
          <w:b/>
        </w:rPr>
        <w:t xml:space="preserve">Auditor</w:t>
      </w:r>
      <w:r>
        <w:t xml:space="preserve"> </w:t>
      </w:r>
      <w:r>
        <w:t xml:space="preserve">is well-positioned to serve the business community in</w:t>
      </w:r>
      <w:r>
        <w:t xml:space="preserve"> </w:t>
      </w:r>
      <w:r>
        <w:rPr>
          <w:bCs/>
          <w:b/>
        </w:rPr>
        <w:t xml:space="preserve">Egypt Cairo</w:t>
      </w:r>
      <w:r>
        <w:t xml:space="preserve"> </w:t>
      </w:r>
      <w:r>
        <w:t xml:space="preserve">with competence and integrity. The minor recommendations provided are intended to further strengthen the quality of the audit practice and ensure ongoing compliance with the evolving regulatory landscape in Egypt.</w:t>
      </w:r>
    </w:p>
    <w:p>
      <w:pPr>
        <w:pStyle w:val="BodyText"/>
      </w:pPr>
      <w:r>
        <w:rPr>
          <w:bCs/>
          <w:b/>
        </w:rPr>
        <w:t xml:space="preserve">Dr. Sarah El-Masry</w:t>
      </w:r>
      <w:r>
        <w:br/>
      </w:r>
      <w:r>
        <w:t xml:space="preserve">Lead Reviewer</w:t>
      </w:r>
      <w:r>
        <w:br/>
      </w:r>
      <w:r>
        <w:t xml:space="preserve">Peer Review Committee</w:t>
      </w:r>
    </w:p>
    <w:p>
      <w:pPr>
        <w:pStyle w:val="BodyText"/>
      </w:pPr>
      <w:r>
        <w:rPr>
          <w:bCs/>
          <w:b/>
        </w:rPr>
        <w:t xml:space="preserve">Ahmed Hassan</w:t>
      </w:r>
      <w:r>
        <w:br/>
      </w:r>
      <w:r>
        <w:t xml:space="preserve">Subject Auditor</w:t>
      </w:r>
      <w:r>
        <w:br/>
      </w:r>
      <w:r>
        <w:t xml:space="preserve">Acknowledged</w:t>
      </w:r>
    </w:p>
    <w:p>
      <w:pPr>
        <w:pStyle w:val="BodyText"/>
      </w:pPr>
      <w:r>
        <w:t xml:space="preserve">This document is confidential and intended solely for the use of the addressee. Unauthorized distribution is prohibited. Prepared in accordance with the regulations of the Egyptian Association of Certified Public Accountants.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Performance Evaluation</dc:title>
  <dc:creator/>
  <dc:language>en</dc:language>
  <cp:keywords/>
  <dcterms:created xsi:type="dcterms:W3CDTF">2026-10-10T07:24:39Z</dcterms:created>
  <dcterms:modified xsi:type="dcterms:W3CDTF">2026-10-10T07:24:39Z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