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Auditor Performance Assessment</w:t>
      </w:r>
    </w:p>
    <w:p>
      <w:pPr>
        <w:pStyle w:val="BodyText"/>
      </w:pPr>
      <w:r>
        <w:rPr>
          <w:bCs/>
          <w:b/>
        </w:rPr>
        <w:t xml:space="preserve">Location:</w:t>
      </w:r>
      <w:r>
        <w:t xml:space="preserve"> </w:t>
      </w:r>
      <w:r>
        <w:t xml:space="preserve">Germany Berlin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of an Auditor operating within the jurisdiction of Germany Berlin. The purpose of this review is to ensure compliance with local regulations, professional standards, and best practices in auditing. This document outlines the methodology, findings, and recommendations based on a thorough assessment of the Auditor's work.</w:t>
      </w:r>
    </w:p>
    <w:bookmarkEnd w:id="21"/>
    <w:bookmarkStart w:id="22" w:name="background"/>
    <w:p>
      <w:pPr>
        <w:pStyle w:val="Heading2"/>
      </w:pPr>
      <w:r>
        <w:t xml:space="preserve">2. Background</w:t>
      </w:r>
    </w:p>
    <w:p>
      <w:pPr>
        <w:pStyle w:val="FirstParagraph"/>
      </w:pPr>
      <w:r>
        <w:t xml:space="preserve">The Auditor under review is responsible for conducting financial audits for various entities in Germany Berlin. These audits are critical for ensuring transparency, accountability, and adherence to German commercial law (Handelsgesetzbuch - HGB) and International Financial Reporting Standards (IFRS). The review focuses on the Auditor's ability to perform their duties effectively while maintaining high ethical standards.</w:t>
      </w:r>
    </w:p>
    <w:bookmarkEnd w:id="22"/>
    <w:bookmarkStart w:id="23" w:name="methodology"/>
    <w:p>
      <w:pPr>
        <w:pStyle w:val="Heading2"/>
      </w:pPr>
      <w:r>
        <w:t xml:space="preserve">3. Methodology</w:t>
      </w:r>
    </w:p>
    <w:p>
      <w:pPr>
        <w:pStyle w:val="FirstParagraph"/>
      </w:pPr>
      <w:r>
        <w:t xml:space="preserve">The Peer Review Report was conducted using the following methods:</w:t>
      </w:r>
    </w:p>
    <w:p>
      <w:pPr>
        <w:numPr>
          <w:ilvl w:val="0"/>
          <w:numId w:val="1001"/>
        </w:numPr>
        <w:pStyle w:val="Compact"/>
      </w:pPr>
      <w:r>
        <w:t xml:space="preserve">Review of audit files and documentation.</w:t>
      </w:r>
    </w:p>
    <w:p>
      <w:pPr>
        <w:numPr>
          <w:ilvl w:val="0"/>
          <w:numId w:val="1001"/>
        </w:numPr>
        <w:pStyle w:val="Compact"/>
      </w:pPr>
      <w:r>
        <w:t xml:space="preserve">Interviews with the Auditor and relevant stakeholders.</w:t>
      </w:r>
    </w:p>
    <w:p>
      <w:pPr>
        <w:numPr>
          <w:ilvl w:val="0"/>
          <w:numId w:val="1001"/>
        </w:numPr>
        <w:pStyle w:val="Compact"/>
      </w:pPr>
      <w:r>
        <w:t xml:space="preserve">Assessment of compliance with German auditing standards (IDW Standards).</w:t>
      </w:r>
    </w:p>
    <w:p>
      <w:pPr>
        <w:numPr>
          <w:ilvl w:val="0"/>
          <w:numId w:val="1001"/>
        </w:numPr>
        <w:pStyle w:val="Compact"/>
      </w:pPr>
      <w:r>
        <w:t xml:space="preserve">Evaluation of the Auditor's adherence to professional ethics and independence requirements.</w:t>
      </w:r>
    </w:p>
    <w:bookmarkEnd w:id="23"/>
    <w:bookmarkStart w:id="28" w:name="findings"/>
    <w:p>
      <w:pPr>
        <w:pStyle w:val="Heading2"/>
      </w:pPr>
      <w:r>
        <w:t xml:space="preserve">4. Findings</w:t>
      </w:r>
    </w:p>
    <w:bookmarkStart w:id="24" w:name="compliance-with-regulations"/>
    <w:p>
      <w:pPr>
        <w:pStyle w:val="Heading3"/>
      </w:pPr>
      <w:r>
        <w:t xml:space="preserve">4.1 Compliance with Regulations</w:t>
      </w:r>
    </w:p>
    <w:p>
      <w:pPr>
        <w:pStyle w:val="FirstParagraph"/>
      </w:pPr>
      <w:r>
        <w:t xml:space="preserve">The Auditor demonstrated a strong understanding of the regulatory framework in Germany Berlin. Their work aligns with the requirements of the HGB and IFRS, ensuring that financial statements are accurate and reliable. However, there were minor discrepancies in the application of certain IDW Standards, which need to be addressed.</w:t>
      </w:r>
    </w:p>
    <w:bookmarkEnd w:id="24"/>
    <w:bookmarkStart w:id="25" w:name="quality-of-audit-work"/>
    <w:p>
      <w:pPr>
        <w:pStyle w:val="Heading3"/>
      </w:pPr>
      <w:r>
        <w:t xml:space="preserve">4.2 Quality of Audit Work</w:t>
      </w:r>
    </w:p>
    <w:p>
      <w:pPr>
        <w:pStyle w:val="FirstParagraph"/>
      </w:pPr>
      <w:r>
        <w:t xml:space="preserve">The quality of the Auditor's work was generally high. The audit procedures were well-documented, and the evidence collected was sufficient to support the conclusions drawn. The Auditor showed a good level of professional skepticism and critical thinking during the review process.</w:t>
      </w:r>
    </w:p>
    <w:bookmarkEnd w:id="25"/>
    <w:bookmarkStart w:id="26" w:name="ethical-standards-and-independence"/>
    <w:p>
      <w:pPr>
        <w:pStyle w:val="Heading3"/>
      </w:pPr>
      <w:r>
        <w:t xml:space="preserve">4.3 Ethical Standards and Independence</w:t>
      </w:r>
    </w:p>
    <w:p>
      <w:pPr>
        <w:pStyle w:val="FirstParagraph"/>
      </w:pPr>
      <w:r>
        <w:t xml:space="preserve">The Auditor maintained a high level of independence and adhered to ethical standards throughout the audit process. There were no conflicts of interest identified, and the Auditor demonstrated a commitment to objectivity and integrity.</w:t>
      </w:r>
    </w:p>
    <w:bookmarkEnd w:id="26"/>
    <w:bookmarkStart w:id="27" w:name="communication-and-reporting"/>
    <w:p>
      <w:pPr>
        <w:pStyle w:val="Heading3"/>
      </w:pPr>
      <w:r>
        <w:t xml:space="preserve">4.4 Communication and Reporting</w:t>
      </w:r>
    </w:p>
    <w:p>
      <w:pPr>
        <w:pStyle w:val="FirstParagraph"/>
      </w:pPr>
      <w:r>
        <w:t xml:space="preserve">The Auditor's communication with clients and stakeholders was clear and professional. The audit reports were comprehensive and provided valuable insights into the financial health of the audited entities. However, there is room for improvement in the timeliness of report delivery.</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training on the application of IDW Standards to ensure full compliance.</w:t>
      </w:r>
    </w:p>
    <w:p>
      <w:pPr>
        <w:numPr>
          <w:ilvl w:val="0"/>
          <w:numId w:val="1002"/>
        </w:numPr>
        <w:pStyle w:val="Compact"/>
      </w:pPr>
      <w:r>
        <w:t xml:space="preserve">Improve time management to ensure timely delivery of audit reports.</w:t>
      </w:r>
    </w:p>
    <w:p>
      <w:pPr>
        <w:numPr>
          <w:ilvl w:val="0"/>
          <w:numId w:val="1002"/>
        </w:numPr>
        <w:pStyle w:val="Compact"/>
      </w:pPr>
      <w:r>
        <w:t xml:space="preserve">Continue to maintain high ethical standards and independence in all audit engagements.</w:t>
      </w:r>
    </w:p>
    <w:p>
      <w:pPr>
        <w:numPr>
          <w:ilvl w:val="0"/>
          <w:numId w:val="1002"/>
        </w:numPr>
        <w:pStyle w:val="Compact"/>
      </w:pPr>
      <w:r>
        <w:t xml:space="preserve">Consider implementing additional quality control measures to further enhance the quality of audit work.</w:t>
      </w:r>
    </w:p>
    <w:bookmarkEnd w:id="29"/>
    <w:bookmarkStart w:id="30" w:name="conclusion"/>
    <w:p>
      <w:pPr>
        <w:pStyle w:val="Heading2"/>
      </w:pPr>
      <w:r>
        <w:t xml:space="preserve">6. Conclusion</w:t>
      </w:r>
    </w:p>
    <w:p>
      <w:pPr>
        <w:pStyle w:val="FirstParagraph"/>
      </w:pPr>
      <w:r>
        <w:t xml:space="preserve">In conclusion, the Auditor operating in Germany Berlin has demonstrated a strong commitment to professional standards and regulatory compliance. While there are areas for improvement, the overall performance is satisfactory. This Peer Review Report serves as a guide for continuous improvement and ensures that the Auditor remains aligned with the expectations of the German auditing profession.</w:t>
      </w:r>
    </w:p>
    <w:bookmarkEnd w:id="30"/>
    <w:p>
      <w:pPr>
        <w:pStyle w:val="BodyText"/>
      </w:pPr>
      <w:r>
        <w:rPr>
          <w:bCs/>
          <w:b/>
        </w:rPr>
        <w:t xml:space="preserve">Prepared by:</w:t>
      </w:r>
    </w:p>
    <w:p>
      <w:pPr>
        <w:pStyle w:val="BodyText"/>
      </w:pPr>
      <w:r>
        <w:t xml:space="preserve">[Name]</w:t>
      </w:r>
    </w:p>
    <w:p>
      <w:pPr>
        <w:pStyle w:val="BodyText"/>
      </w:pPr>
      <w:r>
        <w:t xml:space="preserve">[Title]</w:t>
      </w:r>
    </w:p>
    <w:p>
      <w:pPr>
        <w:pStyle w:val="BodyText"/>
      </w:pPr>
      <w:r>
        <w:t xml:space="preserve">[Organization]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Performance Assessment</dc:title>
  <dc:creator/>
  <dc:language>en</dc:language>
  <cp:keywords/>
  <dcterms:created xsi:type="dcterms:W3CDTF">2026-10-10T06:39:38Z</dcterms:created>
  <dcterms:modified xsi:type="dcterms:W3CDTF">2026-10-10T06:39:38Z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