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Independent</w:t>
      </w:r>
      <w:r>
        <w:t xml:space="preserve"> </w:t>
      </w:r>
      <w:r>
        <w:t xml:space="preserve">Auditor</w:t>
      </w:r>
      <w:r>
        <w:t xml:space="preserve"> </w:t>
      </w:r>
      <w:r>
        <w:t xml:space="preserve">-</w:t>
      </w:r>
      <w:r>
        <w:t xml:space="preserve"> </w:t>
      </w:r>
      <w:r>
        <w:t xml:space="preserve">Frankfurt,</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Independent Auditor Practices</w:t>
      </w:r>
    </w:p>
    <w:p>
      <w:pPr>
        <w:pStyle w:val="BodyText"/>
      </w:pPr>
      <w:r>
        <w:rPr>
          <w:bCs/>
          <w:b/>
        </w:rPr>
        <w:t xml:space="preserve">Location:</w:t>
      </w:r>
      <w:r>
        <w:t xml:space="preserve"> </w:t>
      </w:r>
      <w:r>
        <w:t xml:space="preserve">Frankfurt am Main, Germany</w:t>
      </w:r>
    </w:p>
    <w:p>
      <w:pPr>
        <w:pStyle w:val="BodyText"/>
      </w:pPr>
      <w:r>
        <w:rPr>
          <w:bCs/>
          <w:b/>
        </w:rPr>
        <w:t xml:space="preserve">Date of Report:</w:t>
      </w:r>
      <w:r>
        <w:t xml:space="preserve"> </w:t>
      </w:r>
      <w:r>
        <w:t xml:space="preserve">October 24, 2023</w:t>
      </w:r>
    </w:p>
    <w:p>
      <w:pPr>
        <w:pStyle w:val="BodyText"/>
      </w:pPr>
      <w:r>
        <w:rPr>
          <w:bCs/>
          <w:b/>
        </w:rPr>
        <w:t xml:space="preserve">Review Reference ID:</w:t>
      </w:r>
      <w:r>
        <w:t xml:space="preserve"> </w:t>
      </w:r>
      <w:r>
        <w:t xml:space="preserve">FR-DE-2023-AUD-009</w:t>
      </w:r>
    </w:p>
    <w:bookmarkEnd w:id="20"/>
    <w:bookmarkStart w:id="21" w:name="executive-summary"/>
    <w:p>
      <w:pPr>
        <w:pStyle w:val="Heading2"/>
      </w:pPr>
      <w:r>
        <w:t xml:space="preserve">1. Executive Summary</w:t>
      </w:r>
    </w:p>
    <w:p>
      <w:pPr>
        <w:pStyle w:val="FirstParagraph"/>
      </w:pPr>
      <w:r>
        <w:t xml:space="preserve">This Peer Review Report serves as a formal evaluation of the audit quality, professional competence, and regulatory compliance of the designated Auditor operating within the financial hub of Frankfurt, Germany. As the primary center for banking and finance in the Federal Republic of Germany, Frankfurt imposes rigorous standards on financial oversight. This review assesses whether the Auditor's methodologies align with the International Standards on Auditing (ISA), the German Commercial Code (HGB), and the specific mandates of the Federal Audit Chamber (Bundesprüfkammer). The objective is to ensure that the Auditor maintains the highest level of integrity and technical proficiency required to serve the diverse corporate entities in this region.</w:t>
      </w:r>
    </w:p>
    <w:bookmarkEnd w:id="21"/>
    <w:bookmarkStart w:id="22" w:name="scope-and-methodology"/>
    <w:p>
      <w:pPr>
        <w:pStyle w:val="Heading2"/>
      </w:pPr>
      <w:r>
        <w:t xml:space="preserve">2. Scope and Methodology</w:t>
      </w:r>
    </w:p>
    <w:p>
      <w:pPr>
        <w:pStyle w:val="FirstParagraph"/>
      </w:pPr>
      <w:r>
        <w:t xml:space="preserve">The scope of this Peer Review Report encompasses a comprehensive analysis of the Auditor's recent engagements, specifically focusing on statutory audits conducted for mid-to-large-sized enterprises in the Frankfurt metropolitan area. The review methodology involved a detailed inspection of working papers, risk assessment models, and internal quality control procedures. Furthermore, interviews were conducted with the Auditor's senior staff to evaluate their understanding of local German regulations and international financial reporting standards.</w:t>
      </w:r>
    </w:p>
    <w:p>
      <w:pPr>
        <w:pStyle w:val="BodyText"/>
      </w:pPr>
      <w:r>
        <w:t xml:space="preserve">Special attention was paid to the Auditor's adherence to the German Audit Firms Supervision Act (WPOG), which mandates strict independence and transparency. The review also examined the Auditor's capability to handle complex financial instruments common in the Frankfurt banking sector, ensuring that the audit opinion provided to stakeholders is both accurate and reliable.</w:t>
      </w:r>
    </w:p>
    <w:bookmarkEnd w:id="22"/>
    <w:bookmarkStart w:id="23" w:name="X4bc4b1c7ef29040b8a00b7c589cb9a284653636"/>
    <w:p>
      <w:pPr>
        <w:pStyle w:val="Heading2"/>
      </w:pPr>
      <w:r>
        <w:t xml:space="preserve">3. Regulatory Compliance and Legal Framework</w:t>
      </w:r>
    </w:p>
    <w:p>
      <w:pPr>
        <w:pStyle w:val="FirstParagraph"/>
      </w:pPr>
      <w:r>
        <w:t xml:space="preserve">Operating in Germany Frankfurt requires an Auditor to navigate a complex legal landscape. This Peer Review Report confirms that the Auditor has demonstrated a robust understanding of the relevant legal frameworks. The Auditor strictly adheres to the provisions of the HGB regarding the preparation and auditing of financial statements. Additionally, the review verified compliance with the European Union Audit Regulation, which is critical for cross-border operations often seen in Frankfurt's international business environment.</w:t>
      </w:r>
    </w:p>
    <w:p>
      <w:pPr>
        <w:pStyle w:val="BodyText"/>
      </w:pPr>
      <w:r>
        <w:t xml:space="preserve">The Auditor's registration with the local Chamber of Auditors (Wirtschaftsprüferkammer) was verified, and no disciplinary actions or sanctions were found during the review period. The Auditor's commitment to continuing professional development (CPD) was also assessed, revealing a consistent effort to stay updated on changes in German tax law and auditing standards.</w:t>
      </w:r>
    </w:p>
    <w:bookmarkEnd w:id="23"/>
    <w:bookmarkStart w:id="24" w:name="assessment-of-audit-quality"/>
    <w:p>
      <w:pPr>
        <w:pStyle w:val="Heading2"/>
      </w:pPr>
      <w:r>
        <w:t xml:space="preserve">4. Assessment of Audit Quality</w:t>
      </w:r>
    </w:p>
    <w:p>
      <w:pPr>
        <w:pStyle w:val="FirstParagraph"/>
      </w:pPr>
      <w:r>
        <w:t xml:space="preserve">The core of this Peer Review Report focuses on the technical quality of the Auditor's work. The evaluation of selected audit files indicates that the Auditor employs a risk-based approach consistent with ISA 315. The identification of significant risks, particularly in areas such as revenue recognition and financial instrument valuation, was thorough and well-documented.</w:t>
      </w:r>
    </w:p>
    <w:p>
      <w:pPr>
        <w:pStyle w:val="BodyText"/>
      </w:pPr>
      <w:r>
        <w:t xml:space="preserve">In the context of Frankfurt's dynamic market, the Auditor demonstrated proficiency in auditing entities with significant foreign currency transactions and complex group structures. The working papers reviewed showed clear evidence of professional skepticism, with the Auditor challenging management assumptions where necessary. The documentation of audit evidence was sufficient to support the audit opinion, ensuring that the Auditor's conclusions are defensible and transparent.</w:t>
      </w:r>
    </w:p>
    <w:bookmarkEnd w:id="24"/>
    <w:bookmarkStart w:id="25" w:name="independence-and-ethics"/>
    <w:p>
      <w:pPr>
        <w:pStyle w:val="Heading2"/>
      </w:pPr>
      <w:r>
        <w:t xml:space="preserve">5. Independence and Ethics</w:t>
      </w:r>
    </w:p>
    <w:p>
      <w:pPr>
        <w:pStyle w:val="FirstParagraph"/>
      </w:pPr>
      <w:r>
        <w:t xml:space="preserve">Independence is a cornerstone of the auditing profession, especially in a major financial center like Frankfurt. This Peer Review Report confirms that the Auditor maintains strict independence from their clients. The review examined the Auditor's policies regarding non-audit services and found them to be in full compliance with the Code of Professional Conduct for Auditors in Germany.</w:t>
      </w:r>
    </w:p>
    <w:p>
      <w:pPr>
        <w:pStyle w:val="BodyText"/>
      </w:pPr>
      <w:r>
        <w:t xml:space="preserve">The Auditor has implemented effective safeguards to prevent conflicts of interest, including regular rotation of audit partners and rigorous screening of financial interests. The ethical culture within the Auditor's firm appears strong, with clear guidelines on confidentiality and professional behavior. This commitment to ethics enhances the credibility of the Auditor's work and fosters trust among investors and regulators in the Frankfurt region.</w:t>
      </w:r>
    </w:p>
    <w:bookmarkEnd w:id="25"/>
    <w:bookmarkStart w:id="26" w:name="internal-quality-control-systems"/>
    <w:p>
      <w:pPr>
        <w:pStyle w:val="Heading2"/>
      </w:pPr>
      <w:r>
        <w:t xml:space="preserve">6. Internal Quality Control Systems</w:t>
      </w:r>
    </w:p>
    <w:p>
      <w:pPr>
        <w:pStyle w:val="FirstParagraph"/>
      </w:pPr>
      <w:r>
        <w:t xml:space="preserve">A robust internal quality control system is essential for maintaining audit quality. This Peer Review Report evaluated the Auditor's internal monitoring mechanisms and found them to be effective. The Auditor conducts regular internal reviews of completed audits to ensure compliance with standards and firm policies.</w:t>
      </w:r>
    </w:p>
    <w:p>
      <w:pPr>
        <w:pStyle w:val="BodyText"/>
      </w:pPr>
      <w:r>
        <w:t xml:space="preserve">The review noted that the Auditor has established a dedicated quality control team responsible for overseeing audit engagements and addressing any identified deficiencies. The Auditor's response to previous peer review findings was also assessed, showing a proactive approach to implementing corrective actions. This continuous improvement mindset is vital for an Auditor operating in the competitive and highly regulated environment of Germany Frankfurt.</w:t>
      </w:r>
    </w:p>
    <w:bookmarkEnd w:id="26"/>
    <w:bookmarkStart w:id="27" w:name="recommendations-and-conclusion"/>
    <w:p>
      <w:pPr>
        <w:pStyle w:val="Heading2"/>
      </w:pPr>
      <w:r>
        <w:t xml:space="preserve">7. Recommendations and Conclusion</w:t>
      </w:r>
    </w:p>
    <w:p>
      <w:pPr>
        <w:pStyle w:val="FirstParagraph"/>
      </w:pPr>
      <w:r>
        <w:t xml:space="preserve">Based on the findings of this Peer Review Report, the Auditor is deemed to be performing at a high level of professional competence and ethical integrity. The Auditor's practices are fully aligned with the requirements of German law and international auditing standards. However, to further enhance audit quality, the following recommendations are made:</w:t>
      </w:r>
    </w:p>
    <w:p>
      <w:pPr>
        <w:numPr>
          <w:ilvl w:val="0"/>
          <w:numId w:val="1001"/>
        </w:numPr>
        <w:pStyle w:val="Compact"/>
      </w:pPr>
      <w:r>
        <w:t xml:space="preserve">Enhance training on emerging technologies and their impact on audit procedures, particularly in the context of digital banking prevalent in Frankfurt.</w:t>
      </w:r>
    </w:p>
    <w:p>
      <w:pPr>
        <w:numPr>
          <w:ilvl w:val="0"/>
          <w:numId w:val="1001"/>
        </w:numPr>
        <w:pStyle w:val="Compact"/>
      </w:pPr>
      <w:r>
        <w:t xml:space="preserve">Strengthen documentation practices related to the assessment of going concern assumptions for clients in volatile market sectors.</w:t>
      </w:r>
    </w:p>
    <w:p>
      <w:pPr>
        <w:pStyle w:val="FirstParagraph"/>
      </w:pPr>
      <w:r>
        <w:t xml:space="preserve">In conclusion, this Peer Review Report affirms that the Auditor is well-equipped to provide reliable and independent audit services in Germany Frankfurt. The Auditor's commitment to quality, compliance, and ethical standards ensures that they meet the expectations of stakeholders and contribute to the stability of the financial system in this key economic region.</w:t>
      </w:r>
    </w:p>
    <w:bookmarkEnd w:id="27"/>
    <w:p>
      <w:pPr>
        <w:pStyle w:val="BodyText"/>
      </w:pPr>
      <w:r>
        <w:rPr>
          <w:bCs/>
          <w:b/>
        </w:rPr>
        <w:t xml:space="preserve">Prepared by:</w:t>
      </w:r>
    </w:p>
    <w:p>
      <w:pPr>
        <w:pStyle w:val="BodyText"/>
      </w:pPr>
      <w:r>
        <w:t xml:space="preserve">Dr. Hans Mueller, Senior Peer Reviewer</w:t>
      </w:r>
    </w:p>
    <w:p>
      <w:pPr>
        <w:pStyle w:val="BodyText"/>
      </w:pPr>
      <w:r>
        <w:t xml:space="preserve">Independent Audit Quality Assurance Board</w:t>
      </w:r>
    </w:p>
    <w:p>
      <w:pPr>
        <w:pStyle w:val="BodyText"/>
      </w:pPr>
      <w:r>
        <w:t xml:space="preserve">Frankfurt am Main,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Independent Auditor - Frankfurt, Germany</dc:title>
  <dc:creator/>
  <dc:language>en</dc:language>
  <cp:keywords/>
  <dcterms:created xsi:type="dcterms:W3CDTF">2026-10-10T12:43:47Z</dcterms:created>
  <dcterms:modified xsi:type="dcterms:W3CDTF">2026-10-10T12:43:47Z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