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Assessment</w:t>
      </w:r>
      <w:r>
        <w:t xml:space="preserve"> </w:t>
      </w:r>
      <w:r>
        <w:t xml:space="preserve">in</w:t>
      </w:r>
      <w:r>
        <w:t xml:space="preserve"> </w:t>
      </w:r>
      <w:r>
        <w:t xml:space="preserve">Germany</w:t>
      </w:r>
      <w:r>
        <w:t xml:space="preserve"> </w:t>
      </w:r>
      <w:r>
        <w:t xml:space="preserve">Munich</w:t>
      </w:r>
    </w:p>
    <w:bookmarkStart w:id="27" w:name="peer-review-report-auditor-assessment"/>
    <w:p>
      <w:pPr>
        <w:pStyle w:val="Heading1"/>
      </w:pPr>
      <w:r>
        <w:t xml:space="preserve">Peer Review Report: Auditor Assessment</w:t>
      </w:r>
    </w:p>
    <w:p>
      <w:pPr>
        <w:pStyle w:val="FirstParagraph"/>
      </w:pPr>
      <w:r>
        <w:rPr>
          <w:bCs/>
          <w:b/>
        </w:rPr>
        <w:t xml:space="preserve">Location:</w:t>
      </w:r>
      <w:r>
        <w:t xml:space="preserve"> </w:t>
      </w:r>
      <w:r>
        <w:t xml:space="preserve">Germany Munich</w:t>
      </w:r>
      <w:r>
        <w:br/>
      </w:r>
      <w:r>
        <w:rPr>
          <w:bCs/>
          <w:b/>
        </w:rPr>
        <w:t xml:space="preserve">Date of Review:</w:t>
      </w:r>
      <w:r>
        <w:t xml:space="preserve"> </w:t>
      </w:r>
      <w:r>
        <w:t xml:space="preserve">October 24, 2023</w:t>
      </w:r>
      <w:r>
        <w:br/>
      </w:r>
      <w:r>
        <w:rPr>
          <w:bCs/>
          <w:b/>
        </w:rPr>
        <w:t xml:space="preserve">Review Type:</w:t>
      </w:r>
      <w:r>
        <w:t xml:space="preserve"> </w:t>
      </w:r>
      <w:r>
        <w:t xml:space="preserve">External Quality Assurance</w:t>
      </w:r>
    </w:p>
    <w:p>
      <w:pPr>
        <w:pStyle w:val="BodyText"/>
      </w:pPr>
      <w:r>
        <w:rPr>
          <w:bCs/>
          <w:b/>
        </w:rPr>
        <w:t xml:space="preserve">Subject:</w:t>
      </w:r>
      <w:r>
        <w:t xml:space="preserve"> </w:t>
      </w:r>
      <w:r>
        <w:t xml:space="preserve">Audit Firm / Lead Auditor</w:t>
      </w:r>
      <w:r>
        <w:br/>
      </w:r>
      <w:r>
        <w:rPr>
          <w:bCs/>
          <w:b/>
        </w:rPr>
        <w:t xml:space="preserve">Reference ID:</w:t>
      </w:r>
      <w:r>
        <w:t xml:space="preserve"> </w:t>
      </w:r>
      <w:r>
        <w:t xml:space="preserve">PM-2023-AUD-001</w:t>
      </w:r>
      <w:r>
        <w:br/>
      </w:r>
      <w:r>
        <w:rPr>
          <w:bCs/>
          <w:b/>
        </w:rPr>
        <w:t xml:space="preserve">Regulatory Framework:</w:t>
      </w:r>
      <w:r>
        <w:t xml:space="preserve"> </w:t>
      </w:r>
      <w:r>
        <w:t xml:space="preserve">HGB / IDW PS</w:t>
      </w:r>
    </w:p>
    <w:bookmarkStart w:id="20" w:name="executive-summary"/>
    <w:p>
      <w:pPr>
        <w:pStyle w:val="Heading2"/>
      </w:pPr>
      <w:r>
        <w:t xml:space="preserve">1. Executive Summary</w:t>
      </w:r>
    </w:p>
    <w:p>
      <w:pPr>
        <w:pStyle w:val="FirstParagraph"/>
      </w:pPr>
      <w:r>
        <w:t xml:space="preserve">This Peer Review Report serves as a formal evaluation of the auditing practices, professional competence, and regulatory compliance of the designated Auditor operating within the jurisdiction of Germany Munich. The primary objective of this review is to ensure that the audit services provided align with the rigorous standards set forth by the German Commercial Code (Handelsgesetzbuch - HGB), the International Standards on Auditing (ISA), and the specific guidelines issued by the Institute of Public Auditors in Germany (Institut der Wirtschaftsprüfer - IDW).</w:t>
      </w:r>
    </w:p>
    <w:p>
      <w:pPr>
        <w:pStyle w:val="BodyText"/>
      </w:pPr>
      <w:r>
        <w:t xml:space="preserve">Munich, being a central hub for automotive, technology, and financial industries in Bavaria, demands a heightened level of scrutiny and precision from its auditing professionals. This report assesses whether the Auditor under review maintains the necessary independence, technical expertise, and ethical standards required to serve clients in this competitive and regulated market. The findings presented herein are based on a comprehensive examination of audit files, internal quality control systems, and interviews with key personnel.</w:t>
      </w:r>
    </w:p>
    <w:bookmarkEnd w:id="20"/>
    <w:bookmarkStart w:id="21" w:name="scope-and-methodology"/>
    <w:p>
      <w:pPr>
        <w:pStyle w:val="Heading2"/>
      </w:pPr>
      <w:r>
        <w:t xml:space="preserve">2. Scope and Methodology</w:t>
      </w:r>
    </w:p>
    <w:p>
      <w:pPr>
        <w:pStyle w:val="FirstParagraph"/>
      </w:pPr>
      <w:r>
        <w:t xml:space="preserve">The scope of this Peer Review Report encompasses the evaluation of the Auditor's performance over the preceding fiscal year. The methodology employed includes a risk-based selection of audit files from various sectors prevalent in Germany Munich, including manufacturing, software development, and financial services. The review team analyzed the planning, execution, and reporting phases of these audits to verify adherence to IDW PS 210 (Agreeing the Terms of Audit Engagements) and IDW PS 260 (Communication with Those Charged with Governance).</w:t>
      </w:r>
    </w:p>
    <w:p>
      <w:pPr>
        <w:pStyle w:val="BodyText"/>
      </w:pPr>
      <w:r>
        <w:t xml:space="preserve">Furthermore, the review assessed the Auditor's internal quality control framework against IDW PS 900 (Quality Control for Firms that Perform Audits and Reviews of Financial Statements, and Other Assurance and Related Services Engagements). Special attention was paid to the Auditor's ability to navigate the complex legal landscape of German corporate law, particularly regarding the audit of consolidated financial statements and the reporting obligations to the Federal Financial Supervisory Authority (BaFin) where applicable.</w:t>
      </w:r>
    </w:p>
    <w:bookmarkEnd w:id="21"/>
    <w:bookmarkStart w:id="22" w:name="evaluation-of-professional-competence"/>
    <w:p>
      <w:pPr>
        <w:pStyle w:val="Heading2"/>
      </w:pPr>
      <w:r>
        <w:t xml:space="preserve">3. Evaluation of Professional Competence</w:t>
      </w:r>
    </w:p>
    <w:p>
      <w:pPr>
        <w:pStyle w:val="FirstParagraph"/>
      </w:pPr>
      <w:r>
        <w:t xml:space="preserve">A critical component of this Peer Review Report is the assessment of the Auditor's technical proficiency. The review confirms that the Auditor demonstrates a robust understanding of German accounting standards (GoB - Grundsätze ordnungsmäßiger Buchführung). The audit documentation reviewed indicates a thorough application of substantive testing and analytical procedures.</w:t>
      </w:r>
    </w:p>
    <w:p>
      <w:pPr>
        <w:pStyle w:val="BodyText"/>
      </w:pPr>
      <w:r>
        <w:t xml:space="preserve">In the context of Germany Munich, where many clients are Mittelstand (small to medium-sized enterprises) transitioning into global markets, the Auditor was evaluated on their ability to handle cross-border accounting issues. The findings suggest that the Auditor effectively applies IFRS where required and maintains a clear distinction between HGB and IFRS reporting requirements. The Auditor's staff appears well-trained in the latest updates to the IDW standards, ensuring that the audit opinion is based on sufficient and appropriate audit evidence.</w:t>
      </w:r>
    </w:p>
    <w:bookmarkEnd w:id="22"/>
    <w:bookmarkStart w:id="23" w:name="independence-and-ethical-compliance"/>
    <w:p>
      <w:pPr>
        <w:pStyle w:val="Heading2"/>
      </w:pPr>
      <w:r>
        <w:t xml:space="preserve">4. Independence and Ethical Compliance</w:t>
      </w:r>
    </w:p>
    <w:p>
      <w:pPr>
        <w:pStyle w:val="FirstParagraph"/>
      </w:pPr>
      <w:r>
        <w:t xml:space="preserve">Independence is the cornerstone of public trust in the auditing profession. This Peer Review Report rigorously examined the Auditor's adherence to the Code of Professional Conduct for Public Auditors (Berufsordnung für Wirtschaftsprüfer). The review focused on potential conflicts of interest, particularly given the close-knit business community in Munich.</w:t>
      </w:r>
    </w:p>
    <w:p>
      <w:pPr>
        <w:pStyle w:val="BodyText"/>
      </w:pPr>
      <w:r>
        <w:t xml:space="preserve">The Auditor has implemented effective safeguards to maintain independence in both fact and appearance. Documentation regarding the rotation of audit partners and the review of non-audit services provided to audit clients was found to be comprehensive. The Auditor demonstrated a proactive approach to identifying threats to independence, such as self-review or advocacy threats, and applied appropriate mitigating actions in accordance with IDW PS 200 (General Principles Governing the Auditor).</w:t>
      </w:r>
    </w:p>
    <w:bookmarkEnd w:id="23"/>
    <w:bookmarkStart w:id="24" w:name="quality-control-and-risk-management"/>
    <w:p>
      <w:pPr>
        <w:pStyle w:val="Heading2"/>
      </w:pPr>
      <w:r>
        <w:t xml:space="preserve">5. Quality Control and Risk Management</w:t>
      </w:r>
    </w:p>
    <w:p>
      <w:pPr>
        <w:pStyle w:val="FirstParagraph"/>
      </w:pPr>
      <w:r>
        <w:t xml:space="preserve">The effectiveness of the Auditor's quality control system is vital for the reliability of financial reporting in Germany Munich. This Peer Review Report highlights that the firm has established a structured system for monitoring audit quality. This includes regular internal inspections and a clear hierarchy for resolving technical disagreements.</w:t>
      </w:r>
    </w:p>
    <w:p>
      <w:pPr>
        <w:pStyle w:val="BodyText"/>
      </w:pPr>
      <w:r>
        <w:t xml:space="preserve">The review noted that the Auditor places significant emphasis on risk assessment during the planning phase of the audit. This is particularly relevant in Munich's dynamic economic environment, where rapid technological changes can introduce new risks related to IT systems and data security. The Auditor's procedures for evaluating IT controls were found to be adequate, ensuring that the integrity of financial data generated by automated systems is properly verified.</w:t>
      </w:r>
    </w:p>
    <w:bookmarkEnd w:id="24"/>
    <w:bookmarkStart w:id="25" w:name="findings-and-recommendations"/>
    <w:p>
      <w:pPr>
        <w:pStyle w:val="Heading2"/>
      </w:pPr>
      <w:r>
        <w:t xml:space="preserve">6. Findings and Recommendations</w:t>
      </w:r>
    </w:p>
    <w:p>
      <w:pPr>
        <w:pStyle w:val="FirstParagraph"/>
      </w:pPr>
      <w:r>
        <w:t xml:space="preserve">Overall, this Peer Review Report concludes that the Auditor operates at a high level of professional quality. However, to further enhance compliance and efficiency, the following recommendations are made:</w:t>
      </w:r>
    </w:p>
    <w:p>
      <w:pPr>
        <w:numPr>
          <w:ilvl w:val="0"/>
          <w:numId w:val="1001"/>
        </w:numPr>
        <w:pStyle w:val="Compact"/>
      </w:pPr>
      <w:r>
        <w:rPr>
          <w:bCs/>
          <w:b/>
        </w:rPr>
        <w:t xml:space="preserve">Enhanced Documentation:</w:t>
      </w:r>
      <w:r>
        <w:t xml:space="preserve"> </w:t>
      </w:r>
      <w:r>
        <w:t xml:space="preserve">While generally strong, the documentation regarding the assessment of going concern assumptions could be more detailed, particularly for clients in volatile sectors.</w:t>
      </w:r>
    </w:p>
    <w:p>
      <w:pPr>
        <w:numPr>
          <w:ilvl w:val="0"/>
          <w:numId w:val="1001"/>
        </w:numPr>
        <w:pStyle w:val="Compact"/>
      </w:pPr>
      <w:r>
        <w:rPr>
          <w:bCs/>
          <w:b/>
        </w:rPr>
        <w:t xml:space="preserve">Continuous Training:</w:t>
      </w:r>
      <w:r>
        <w:t xml:space="preserve"> </w:t>
      </w:r>
      <w:r>
        <w:t xml:space="preserve">It is recommended that the Auditor invests further in specialized training regarding the digitalization of audit processes (e.g., use of AI in data analytics) to stay ahead of industry trends in Munich.</w:t>
      </w:r>
    </w:p>
    <w:p>
      <w:pPr>
        <w:numPr>
          <w:ilvl w:val="0"/>
          <w:numId w:val="1001"/>
        </w:numPr>
        <w:pStyle w:val="Compact"/>
      </w:pPr>
      <w:r>
        <w:rPr>
          <w:bCs/>
          <w:b/>
        </w:rPr>
        <w:t xml:space="preserve">Regulatory Updates:</w:t>
      </w:r>
      <w:r>
        <w:t xml:space="preserve"> </w:t>
      </w:r>
      <w:r>
        <w:t xml:space="preserve">Ensure that all staff are promptly updated on any amendments to the German Audit Firms Supervision Act (WPG) to maintain full regulatory compliance.</w:t>
      </w:r>
    </w:p>
    <w:bookmarkEnd w:id="25"/>
    <w:bookmarkStart w:id="26" w:name="conclusion"/>
    <w:p>
      <w:pPr>
        <w:pStyle w:val="Heading2"/>
      </w:pPr>
      <w:r>
        <w:t xml:space="preserve">7. Conclusion</w:t>
      </w:r>
    </w:p>
    <w:p>
      <w:pPr>
        <w:pStyle w:val="FirstParagraph"/>
      </w:pPr>
      <w:r>
        <w:t xml:space="preserve">In conclusion, this Peer Review Report affirms that the Auditor under review meets the stringent requirements expected of a professional auditing entity in Germany Munich. The Auditor demonstrates a commitment to integrity, objectivity, and professional competence. By addressing the minor recommendations outlined above, the Auditor will continue to provide high-quality assurance services that support the transparency and stability of the financial markets in Bavaria and beyond.</w:t>
      </w:r>
    </w:p>
    <w:p>
      <w:pPr>
        <w:pStyle w:val="BodyText"/>
      </w:pPr>
      <w:r>
        <w:rPr>
          <w:bCs/>
          <w:b/>
        </w:rPr>
        <w:t xml:space="preserve">Lead Reviewer Signature:</w:t>
      </w:r>
      <w:r>
        <w:br/>
      </w:r>
      <w:r>
        <w:t xml:space="preserve">[Signature]</w:t>
      </w:r>
      <w:r>
        <w:br/>
      </w:r>
      <w:r>
        <w:t xml:space="preserve">Dr. Hans Mueller, CPA</w:t>
      </w:r>
      <w:r>
        <w:br/>
      </w:r>
      <w:r>
        <w:t xml:space="preserve">Senior Peer Reviewer</w:t>
      </w:r>
    </w:p>
    <w:p>
      <w:pPr>
        <w:pStyle w:val="BodyText"/>
      </w:pPr>
      <w:r>
        <w:rPr>
          <w:bCs/>
          <w:b/>
        </w:rPr>
        <w:t xml:space="preserve">Auditor Acknowledgment:</w:t>
      </w:r>
      <w:r>
        <w:br/>
      </w:r>
      <w:r>
        <w:t xml:space="preserve">[Signature]</w:t>
      </w:r>
      <w:r>
        <w:br/>
      </w:r>
      <w:r>
        <w:t xml:space="preserve">[Auditor Name]</w:t>
      </w:r>
      <w:r>
        <w:br/>
      </w:r>
      <w:r>
        <w:t xml:space="preserve">Managing Partner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Assessment in Germany Munich</dc:title>
  <dc:creator/>
  <dc:language>en</dc:language>
  <cp:keywords/>
  <dcterms:created xsi:type="dcterms:W3CDTF">2026-10-10T08:34:55Z</dcterms:created>
  <dcterms:modified xsi:type="dcterms:W3CDTF">2026-10-10T08:34:55Z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