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Quality</w:t>
      </w:r>
      <w:r>
        <w:t xml:space="preserve"> </w:t>
      </w:r>
      <w:r>
        <w:t xml:space="preserve">Assurance</w:t>
      </w:r>
      <w:r>
        <w:t xml:space="preserve"> </w:t>
      </w:r>
      <w:r>
        <w:t xml:space="preserve">-</w:t>
      </w:r>
      <w:r>
        <w:t xml:space="preserve"> </w:t>
      </w:r>
      <w:r>
        <w:t xml:space="preserve">India</w:t>
      </w:r>
      <w:r>
        <w:t xml:space="preserve"> </w:t>
      </w:r>
      <w:r>
        <w:t xml:space="preserve">Mumbai</w:t>
      </w:r>
    </w:p>
    <w:bookmarkStart w:id="29" w:name="peer-review-report"/>
    <w:p>
      <w:pPr>
        <w:pStyle w:val="Heading1"/>
      </w:pPr>
      <w:r>
        <w:t xml:space="preserve">Peer Review Report</w:t>
      </w:r>
    </w:p>
    <w:p>
      <w:pPr>
        <w:pStyle w:val="FirstParagraph"/>
      </w:pPr>
      <w:r>
        <w:t xml:space="preserve">Subject Firm:</w:t>
      </w:r>
      <w:r>
        <w:t xml:space="preserve"> </w:t>
      </w:r>
      <w:r>
        <w:t xml:space="preserve">[Name of Audit Firm]</w:t>
      </w:r>
    </w:p>
    <w:p>
      <w:pPr>
        <w:pStyle w:val="BodyText"/>
      </w:pPr>
      <w:r>
        <w:t xml:space="preserve">Location:</w:t>
      </w:r>
      <w:r>
        <w:t xml:space="preserve"> </w:t>
      </w:r>
      <w:r>
        <w:t xml:space="preserve">Mumbai, Maharashtra, India</w:t>
      </w:r>
    </w:p>
    <w:p>
      <w:pPr>
        <w:pStyle w:val="BodyText"/>
      </w:pPr>
      <w:r>
        <w:t xml:space="preserve">Registration No:</w:t>
      </w:r>
      <w:r>
        <w:t xml:space="preserve"> </w:t>
      </w:r>
      <w:r>
        <w:t xml:space="preserve">[ICAI Firm Registration Number]</w:t>
      </w:r>
    </w:p>
    <w:p>
      <w:pPr>
        <w:pStyle w:val="BodyText"/>
      </w:pPr>
      <w:r>
        <w:t xml:space="preserve">Review Period:</w:t>
      </w:r>
      <w:r>
        <w:t xml:space="preserve"> </w:t>
      </w:r>
      <w:r>
        <w:t xml:space="preserve">Financial Year 2023-2024</w:t>
      </w:r>
    </w:p>
    <w:p>
      <w:pPr>
        <w:pStyle w:val="BodyText"/>
      </w:pPr>
      <w:r>
        <w:t xml:space="preserve">Date of Report:</w:t>
      </w:r>
      <w:r>
        <w:t xml:space="preserve"> </w:t>
      </w:r>
      <w:r>
        <w:t xml:space="preserve">October 24, 2024</w:t>
      </w:r>
    </w:p>
    <w:p>
      <w:pPr>
        <w:pStyle w:val="BodyText"/>
      </w:pPr>
      <w:r>
        <w:t xml:space="preserve">Review Type:</w:t>
      </w:r>
      <w:r>
        <w:t xml:space="preserve"> </w:t>
      </w:r>
      <w:r>
        <w:t xml:space="preserve">Systematic Quality Review</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in accordance with the Standards on Quality Control (SQC) 1 and the guidelines issued by the Institute of Chartered Accountants of India (ICAI). The primary objective of this review is to evaluate the quality of audit work performed by the</w:t>
      </w:r>
      <w:r>
        <w:t xml:space="preserve"> </w:t>
      </w:r>
      <w:r>
        <w:rPr>
          <w:bCs/>
          <w:b/>
        </w:rPr>
        <w:t xml:space="preserve">Auditor</w:t>
      </w:r>
      <w:r>
        <w:t xml:space="preserve"> </w:t>
      </w:r>
      <w:r>
        <w:t xml:space="preserve">at the subject firm located in</w:t>
      </w:r>
      <w:r>
        <w:t xml:space="preserve"> </w:t>
      </w:r>
      <w:r>
        <w:rPr>
          <w:bCs/>
          <w:b/>
        </w:rPr>
        <w:t xml:space="preserve">India Mumbai</w:t>
      </w:r>
      <w:r>
        <w:t xml:space="preserve">. Given Mumbai's status as the financial capital of India, housing the Bombay Stock Exchange (BSE), the National Stock Exchange (NSE), and the Reserve Bank of India (RBI), the regulatory environment is exceptionally rigorous. Consequently, the expectations for audit quality, compliance, and professional skepticism are elevated.</w:t>
      </w:r>
    </w:p>
    <w:p>
      <w:pPr>
        <w:pStyle w:val="BodyText"/>
      </w:pPr>
      <w:r>
        <w:t xml:space="preserve">The scope of this</w:t>
      </w:r>
      <w:r>
        <w:t xml:space="preserve"> </w:t>
      </w:r>
      <w:r>
        <w:rPr>
          <w:bCs/>
          <w:b/>
        </w:rPr>
        <w:t xml:space="preserve">Peer Review Report</w:t>
      </w:r>
      <w:r>
        <w:t xml:space="preserve"> </w:t>
      </w:r>
      <w:r>
        <w:t xml:space="preserve">encompasses an examination of the firm's system of quality control, specifically focusing on leadership responsibilities, ethical requirements, acceptance and continuance of client relationships, human resources, engagement performance, and monitoring. The review team selected a sample of audit engagements conducted by the</w:t>
      </w:r>
      <w:r>
        <w:t xml:space="preserve"> </w:t>
      </w:r>
      <w:r>
        <w:rPr>
          <w:bCs/>
          <w:b/>
        </w:rPr>
        <w:t xml:space="preserve">Auditor</w:t>
      </w:r>
      <w:r>
        <w:t xml:space="preserve"> </w:t>
      </w:r>
      <w:r>
        <w:t xml:space="preserve">during the specified period to assess adherence to the Standards on Auditing (SAs) applicable in India.</w:t>
      </w:r>
    </w:p>
    <w:bookmarkEnd w:id="20"/>
    <w:bookmarkStart w:id="21" w:name="regulatory-context-india-mumbai"/>
    <w:p>
      <w:pPr>
        <w:pStyle w:val="Heading2"/>
      </w:pPr>
      <w:r>
        <w:t xml:space="preserve">2. Regulatory Context: India Mumbai</w:t>
      </w:r>
    </w:p>
    <w:p>
      <w:pPr>
        <w:pStyle w:val="FirstParagraph"/>
      </w:pPr>
      <w:r>
        <w:t xml:space="preserve">The audit landscape in</w:t>
      </w:r>
      <w:r>
        <w:t xml:space="preserve"> </w:t>
      </w:r>
      <w:r>
        <w:rPr>
          <w:bCs/>
          <w:b/>
        </w:rPr>
        <w:t xml:space="preserve">India Mumbai</w:t>
      </w:r>
      <w:r>
        <w:t xml:space="preserve"> </w:t>
      </w:r>
      <w:r>
        <w:t xml:space="preserve">is characterized by complex corporate structures, high-volume transactions, and stringent regulatory oversight. The</w:t>
      </w:r>
      <w:r>
        <w:t xml:space="preserve"> </w:t>
      </w:r>
      <w:r>
        <w:rPr>
          <w:bCs/>
          <w:b/>
        </w:rPr>
        <w:t xml:space="preserve">Auditor</w:t>
      </w:r>
      <w:r>
        <w:t xml:space="preserve"> </w:t>
      </w:r>
      <w:r>
        <w:t xml:space="preserve">operating in this jurisdiction must navigate the Companies Act, 2013, the SEBI (Listing Obligations and Disclosure Requirements) Regulations, and the Income Tax Act, 1961. This</w:t>
      </w:r>
      <w:r>
        <w:t xml:space="preserve"> </w:t>
      </w:r>
      <w:r>
        <w:rPr>
          <w:bCs/>
          <w:b/>
        </w:rPr>
        <w:t xml:space="preserve">Peer Review Report</w:t>
      </w:r>
      <w:r>
        <w:t xml:space="preserve"> </w:t>
      </w:r>
      <w:r>
        <w:t xml:space="preserve">specifically assesses whether the</w:t>
      </w:r>
      <w:r>
        <w:t xml:space="preserve"> </w:t>
      </w:r>
      <w:r>
        <w:rPr>
          <w:bCs/>
          <w:b/>
        </w:rPr>
        <w:t xml:space="preserve">Auditor</w:t>
      </w:r>
      <w:r>
        <w:t xml:space="preserve"> </w:t>
      </w:r>
      <w:r>
        <w:t xml:space="preserve">has demonstrated sufficient competence in handling these local regulatory nuances.</w:t>
      </w:r>
    </w:p>
    <w:p>
      <w:pPr>
        <w:pStyle w:val="BodyText"/>
      </w:pPr>
      <w:r>
        <w:t xml:space="preserve">In Mumbai, where multinational corporations and large public sector undertakings are prevalent, the risk of material misstatement due to fraud or error is significant. The review evaluated whether the</w:t>
      </w:r>
      <w:r>
        <w:t xml:space="preserve"> </w:t>
      </w:r>
      <w:r>
        <w:rPr>
          <w:bCs/>
          <w:b/>
        </w:rPr>
        <w:t xml:space="preserve">Auditor</w:t>
      </w:r>
      <w:r>
        <w:t xml:space="preserve"> </w:t>
      </w:r>
      <w:r>
        <w:t xml:space="preserve">maintained the necessary professional skepticism required by the ICAI code of ethics. The report confirms that the</w:t>
      </w:r>
      <w:r>
        <w:t xml:space="preserve"> </w:t>
      </w:r>
      <w:r>
        <w:rPr>
          <w:bCs/>
          <w:b/>
        </w:rPr>
        <w:t xml:space="preserve">Auditor</w:t>
      </w:r>
      <w:r>
        <w:t xml:space="preserve"> </w:t>
      </w:r>
      <w:r>
        <w:t xml:space="preserve">is well-versed in the specific compliance requirements mandated by the Ministry of Corporate Affairs (MCA) for entities registered in the Mumbai jurisdiction.</w:t>
      </w:r>
    </w:p>
    <w:bookmarkEnd w:id="21"/>
    <w:bookmarkStart w:id="25" w:name="evaluation-of-the-auditors-performance"/>
    <w:p>
      <w:pPr>
        <w:pStyle w:val="Heading2"/>
      </w:pPr>
      <w:r>
        <w:t xml:space="preserve">3. Evaluation of the Auditor's Performance</w:t>
      </w:r>
    </w:p>
    <w:p>
      <w:pPr>
        <w:pStyle w:val="FirstParagraph"/>
      </w:pPr>
      <w:r>
        <w:t xml:space="preserve">The core of this</w:t>
      </w:r>
      <w:r>
        <w:t xml:space="preserve"> </w:t>
      </w:r>
      <w:r>
        <w:rPr>
          <w:bCs/>
          <w:b/>
        </w:rPr>
        <w:t xml:space="preserve">Peer Review Report</w:t>
      </w:r>
      <w:r>
        <w:t xml:space="preserve"> </w:t>
      </w:r>
      <w:r>
        <w:t xml:space="preserve">is the assessment of the</w:t>
      </w:r>
      <w:r>
        <w:t xml:space="preserve"> </w:t>
      </w:r>
      <w:r>
        <w:rPr>
          <w:bCs/>
          <w:b/>
        </w:rPr>
        <w:t xml:space="preserve">Auditor</w:t>
      </w:r>
      <w:r>
        <w:t xml:space="preserve">'s technical proficiency and adherence to professional standards. The review team analyzed audit working papers, management letters, and final audit reports.</w:t>
      </w:r>
    </w:p>
    <w:bookmarkStart w:id="22" w:name="planning-and-risk-assessment"/>
    <w:p>
      <w:pPr>
        <w:pStyle w:val="Heading3"/>
      </w:pPr>
      <w:r>
        <w:t xml:space="preserve">3.1 Planning and Risk Assessment</w:t>
      </w:r>
    </w:p>
    <w:p>
      <w:pPr>
        <w:pStyle w:val="FirstParagraph"/>
      </w:pPr>
      <w:r>
        <w:t xml:space="preserve">The</w:t>
      </w:r>
      <w:r>
        <w:t xml:space="preserve"> </w:t>
      </w:r>
      <w:r>
        <w:rPr>
          <w:bCs/>
          <w:b/>
        </w:rPr>
        <w:t xml:space="preserve">Auditor</w:t>
      </w:r>
      <w:r>
        <w:t xml:space="preserve"> </w:t>
      </w:r>
      <w:r>
        <w:t xml:space="preserve">demonstrated a robust approach to audit planning. In the sampled engagements, the risk assessment procedures were comprehensive, taking into account the specific economic environment of</w:t>
      </w:r>
      <w:r>
        <w:t xml:space="preserve"> </w:t>
      </w:r>
      <w:r>
        <w:rPr>
          <w:bCs/>
          <w:b/>
        </w:rPr>
        <w:t xml:space="preserve">India Mumbai</w:t>
      </w:r>
      <w:r>
        <w:t xml:space="preserve">. The</w:t>
      </w:r>
      <w:r>
        <w:t xml:space="preserve"> </w:t>
      </w:r>
      <w:r>
        <w:rPr>
          <w:bCs/>
          <w:b/>
        </w:rPr>
        <w:t xml:space="preserve">Auditor</w:t>
      </w:r>
      <w:r>
        <w:t xml:space="preserve"> </w:t>
      </w:r>
      <w:r>
        <w:t xml:space="preserve">correctly identified significant risks related to revenue recognition and valuation of financial instruments, which are critical areas for Mumbai-based financial entities. The documentation of the audit strategy was clear, logical, and aligned with SA 300 (Planning an Audit of Financial Statements).</w:t>
      </w:r>
    </w:p>
    <w:bookmarkEnd w:id="22"/>
    <w:bookmarkStart w:id="23" w:name="evidence-and-testing"/>
    <w:p>
      <w:pPr>
        <w:pStyle w:val="Heading3"/>
      </w:pPr>
      <w:r>
        <w:t xml:space="preserve">3.2 Evidence and Testing</w:t>
      </w:r>
    </w:p>
    <w:p>
      <w:pPr>
        <w:pStyle w:val="FirstParagraph"/>
      </w:pPr>
      <w:r>
        <w:t xml:space="preserve">A critical aspect of this</w:t>
      </w:r>
      <w:r>
        <w:t xml:space="preserve"> </w:t>
      </w:r>
      <w:r>
        <w:rPr>
          <w:bCs/>
          <w:b/>
        </w:rPr>
        <w:t xml:space="preserve">Peer Review Report</w:t>
      </w:r>
      <w:r>
        <w:t xml:space="preserve"> </w:t>
      </w:r>
      <w:r>
        <w:t xml:space="preserve">is the sufficiency and appropriateness of audit evidence obtained by the</w:t>
      </w:r>
      <w:r>
        <w:t xml:space="preserve"> </w:t>
      </w:r>
      <w:r>
        <w:rPr>
          <w:bCs/>
          <w:b/>
        </w:rPr>
        <w:t xml:space="preserve">Auditor</w:t>
      </w:r>
      <w:r>
        <w:t xml:space="preserve">. The review found that the</w:t>
      </w:r>
      <w:r>
        <w:t xml:space="preserve"> </w:t>
      </w:r>
      <w:r>
        <w:rPr>
          <w:bCs/>
          <w:b/>
        </w:rPr>
        <w:t xml:space="preserve">Auditor</w:t>
      </w:r>
      <w:r>
        <w:t xml:space="preserve"> </w:t>
      </w:r>
      <w:r>
        <w:t xml:space="preserve">performed substantive testing and tests of controls effectively. In the context of</w:t>
      </w:r>
      <w:r>
        <w:t xml:space="preserve"> </w:t>
      </w:r>
      <w:r>
        <w:rPr>
          <w:bCs/>
          <w:b/>
        </w:rPr>
        <w:t xml:space="preserve">India Mumbai</w:t>
      </w:r>
      <w:r>
        <w:t xml:space="preserve">, where digital transactions are ubiquitous, the</w:t>
      </w:r>
      <w:r>
        <w:t xml:space="preserve"> </w:t>
      </w:r>
      <w:r>
        <w:rPr>
          <w:bCs/>
          <w:b/>
        </w:rPr>
        <w:t xml:space="preserve">Auditor</w:t>
      </w:r>
      <w:r>
        <w:t xml:space="preserve"> </w:t>
      </w:r>
      <w:r>
        <w:t xml:space="preserve">utilized Computer-Assisted Audit Techniques (CAATs) to verify large datasets. The working papers provided sufficient evidence to support the audit opinion, demonstrating that the</w:t>
      </w:r>
      <w:r>
        <w:t xml:space="preserve"> </w:t>
      </w:r>
      <w:r>
        <w:rPr>
          <w:bCs/>
          <w:b/>
        </w:rPr>
        <w:t xml:space="preserve">Auditor</w:t>
      </w:r>
      <w:r>
        <w:t xml:space="preserve"> </w:t>
      </w:r>
      <w:r>
        <w:t xml:space="preserve">exercised due professional care.</w:t>
      </w:r>
    </w:p>
    <w:bookmarkEnd w:id="23"/>
    <w:bookmarkStart w:id="24" w:name="reporting-and-compliance"/>
    <w:p>
      <w:pPr>
        <w:pStyle w:val="Heading3"/>
      </w:pPr>
      <w:r>
        <w:t xml:space="preserve">3.3 Reporting and Compliance</w:t>
      </w:r>
    </w:p>
    <w:p>
      <w:pPr>
        <w:pStyle w:val="FirstParagraph"/>
      </w:pPr>
      <w:r>
        <w:t xml:space="preserve">The audit reports issued by the</w:t>
      </w:r>
      <w:r>
        <w:t xml:space="preserve"> </w:t>
      </w:r>
      <w:r>
        <w:rPr>
          <w:bCs/>
          <w:b/>
        </w:rPr>
        <w:t xml:space="preserve">Auditor</w:t>
      </w:r>
      <w:r>
        <w:t xml:space="preserve"> </w:t>
      </w:r>
      <w:r>
        <w:t xml:space="preserve">were reviewed for compliance with SA 700 and SA 701. The</w:t>
      </w:r>
      <w:r>
        <w:t xml:space="preserve"> </w:t>
      </w:r>
      <w:r>
        <w:rPr>
          <w:bCs/>
          <w:b/>
        </w:rPr>
        <w:t xml:space="preserve">Auditor</w:t>
      </w:r>
      <w:r>
        <w:t xml:space="preserve"> </w:t>
      </w:r>
      <w:r>
        <w:t xml:space="preserve">accurately reported Key Audit Matters (KAMs) relevant to the entities in</w:t>
      </w:r>
      <w:r>
        <w:t xml:space="preserve"> </w:t>
      </w:r>
      <w:r>
        <w:rPr>
          <w:bCs/>
          <w:b/>
        </w:rPr>
        <w:t xml:space="preserve">India Mumbai</w:t>
      </w:r>
      <w:r>
        <w:t xml:space="preserve">. The language used in the reports was precise, avoiding ambiguity. Furthermore, the</w:t>
      </w:r>
      <w:r>
        <w:t xml:space="preserve"> </w:t>
      </w:r>
      <w:r>
        <w:rPr>
          <w:bCs/>
          <w:b/>
        </w:rPr>
        <w:t xml:space="preserve">Auditor</w:t>
      </w:r>
      <w:r>
        <w:t xml:space="preserve"> </w:t>
      </w:r>
      <w:r>
        <w:t xml:space="preserve">ensured that all statutory requirements under the Companies Act, 2013, were met, including the reporting on internal financial controls under Section 143(3)(i).</w:t>
      </w:r>
    </w:p>
    <w:bookmarkEnd w:id="24"/>
    <w:bookmarkEnd w:id="25"/>
    <w:bookmarkStart w:id="26" w:name="quality-control-systems"/>
    <w:p>
      <w:pPr>
        <w:pStyle w:val="Heading2"/>
      </w:pPr>
      <w:r>
        <w:t xml:space="preserve">4. Quality Control Systems</w:t>
      </w:r>
    </w:p>
    <w:p>
      <w:pPr>
        <w:pStyle w:val="FirstParagraph"/>
      </w:pPr>
      <w:r>
        <w:t xml:space="preserve">This</w:t>
      </w:r>
      <w:r>
        <w:t xml:space="preserve"> </w:t>
      </w:r>
      <w:r>
        <w:rPr>
          <w:bCs/>
          <w:b/>
        </w:rPr>
        <w:t xml:space="preserve">Peer Review Report</w:t>
      </w:r>
      <w:r>
        <w:t xml:space="preserve"> </w:t>
      </w:r>
      <w:r>
        <w:t xml:space="preserve">also evaluates the firm's internal quality control mechanisms. The firm has established a dedicated quality control department that monitors the work of the</w:t>
      </w:r>
      <w:r>
        <w:t xml:space="preserve"> </w:t>
      </w:r>
      <w:r>
        <w:rPr>
          <w:bCs/>
          <w:b/>
        </w:rPr>
        <w:t xml:space="preserve">Auditor</w:t>
      </w:r>
      <w:r>
        <w:t xml:space="preserve">. The review found that the firm's policies regarding independence and conflict of interest are strictly enforced, which is vital given the interconnected business networks in</w:t>
      </w:r>
      <w:r>
        <w:t xml:space="preserve"> </w:t>
      </w:r>
      <w:r>
        <w:rPr>
          <w:bCs/>
          <w:b/>
        </w:rPr>
        <w:t xml:space="preserve">India Mumbai</w:t>
      </w:r>
      <w:r>
        <w:t xml:space="preserve">. The</w:t>
      </w:r>
      <w:r>
        <w:t xml:space="preserve"> </w:t>
      </w:r>
      <w:r>
        <w:rPr>
          <w:bCs/>
          <w:b/>
        </w:rPr>
        <w:t xml:space="preserve">Auditor</w:t>
      </w:r>
      <w:r>
        <w:t xml:space="preserve"> </w:t>
      </w:r>
      <w:r>
        <w:t xml:space="preserve">participates regularly in Continuing Professional Education (CPE) programs, ensuring that their knowledge of Indian Accounting Standards (Ind AS) and tax laws remains current.</w:t>
      </w:r>
    </w:p>
    <w:bookmarkEnd w:id="26"/>
    <w:bookmarkStart w:id="27" w:name="observations-and-recommendations"/>
    <w:p>
      <w:pPr>
        <w:pStyle w:val="Heading2"/>
      </w:pPr>
      <w:r>
        <w:t xml:space="preserve">5. Observations and Recommendations</w:t>
      </w:r>
    </w:p>
    <w:p>
      <w:pPr>
        <w:pStyle w:val="FirstParagraph"/>
      </w:pPr>
      <w:r>
        <w:t xml:space="preserve">While the overall performance of the</w:t>
      </w:r>
      <w:r>
        <w:t xml:space="preserve"> </w:t>
      </w:r>
      <w:r>
        <w:rPr>
          <w:bCs/>
          <w:b/>
        </w:rPr>
        <w:t xml:space="preserve">Auditor</w:t>
      </w:r>
      <w:r>
        <w:t xml:space="preserve"> </w:t>
      </w:r>
      <w:r>
        <w:t xml:space="preserve">is satisfactory, this</w:t>
      </w:r>
      <w:r>
        <w:t xml:space="preserve"> </w:t>
      </w:r>
      <w:r>
        <w:rPr>
          <w:bCs/>
          <w:b/>
        </w:rPr>
        <w:t xml:space="preserve">Peer Review Report</w:t>
      </w:r>
      <w:r>
        <w:t xml:space="preserve"> </w:t>
      </w:r>
      <w:r>
        <w:t xml:space="preserve">highlights a few areas for improvement:</w:t>
      </w:r>
    </w:p>
    <w:p>
      <w:pPr>
        <w:numPr>
          <w:ilvl w:val="0"/>
          <w:numId w:val="1001"/>
        </w:numPr>
        <w:pStyle w:val="Compact"/>
      </w:pPr>
      <w:r>
        <w:rPr>
          <w:bCs/>
          <w:b/>
        </w:rPr>
        <w:t xml:space="preserve">Documentation of IT Controls:</w:t>
      </w:r>
      <w:r>
        <w:t xml:space="preserve"> </w:t>
      </w:r>
      <w:r>
        <w:t xml:space="preserve">Given the high reliance on technology in Mumbai's corporate sector, the</w:t>
      </w:r>
      <w:r>
        <w:t xml:space="preserve"> </w:t>
      </w:r>
      <w:r>
        <w:rPr>
          <w:bCs/>
          <w:b/>
        </w:rPr>
        <w:t xml:space="preserve">Auditor</w:t>
      </w:r>
      <w:r>
        <w:t xml:space="preserve"> </w:t>
      </w:r>
      <w:r>
        <w:t xml:space="preserve">should enhance the documentation of IT general controls testing.</w:t>
      </w:r>
    </w:p>
    <w:p>
      <w:pPr>
        <w:numPr>
          <w:ilvl w:val="0"/>
          <w:numId w:val="1001"/>
        </w:numPr>
        <w:pStyle w:val="Compact"/>
      </w:pPr>
      <w:r>
        <w:rPr>
          <w:bCs/>
          <w:b/>
        </w:rPr>
        <w:t xml:space="preserve">Regulatory Updates:</w:t>
      </w:r>
      <w:r>
        <w:t xml:space="preserve"> </w:t>
      </w:r>
      <w:r>
        <w:t xml:space="preserve">The</w:t>
      </w:r>
      <w:r>
        <w:t xml:space="preserve"> </w:t>
      </w:r>
      <w:r>
        <w:rPr>
          <w:bCs/>
          <w:b/>
        </w:rPr>
        <w:t xml:space="preserve">Auditor</w:t>
      </w:r>
      <w:r>
        <w:t xml:space="preserve"> </w:t>
      </w:r>
      <w:r>
        <w:t xml:space="preserve">should maintain a more formalized log of regulatory changes specific to</w:t>
      </w:r>
      <w:r>
        <w:t xml:space="preserve"> </w:t>
      </w:r>
      <w:r>
        <w:rPr>
          <w:bCs/>
          <w:b/>
        </w:rPr>
        <w:t xml:space="preserve">India Mumbai</w:t>
      </w:r>
      <w:r>
        <w:t xml:space="preserve"> </w:t>
      </w:r>
      <w:r>
        <w:t xml:space="preserve">jurisdictions to ensure immediate implementation in audit programs.</w:t>
      </w:r>
    </w:p>
    <w:p>
      <w:pPr>
        <w:numPr>
          <w:ilvl w:val="0"/>
          <w:numId w:val="1001"/>
        </w:numPr>
        <w:pStyle w:val="Compact"/>
      </w:pPr>
      <w:r>
        <w:rPr>
          <w:bCs/>
          <w:b/>
        </w:rPr>
        <w:t xml:space="preserve">Peer Review Feedback Loop:</w:t>
      </w:r>
      <w:r>
        <w:t xml:space="preserve"> </w:t>
      </w:r>
      <w:r>
        <w:t xml:space="preserve">The firm should ensure that findings from this</w:t>
      </w:r>
      <w:r>
        <w:t xml:space="preserve"> </w:t>
      </w:r>
      <w:r>
        <w:rPr>
          <w:bCs/>
          <w:b/>
        </w:rPr>
        <w:t xml:space="preserve">Peer Review Report</w:t>
      </w:r>
      <w:r>
        <w:t xml:space="preserve"> </w:t>
      </w:r>
      <w:r>
        <w:t xml:space="preserve">are discussed in detail with the</w:t>
      </w:r>
      <w:r>
        <w:t xml:space="preserve"> </w:t>
      </w:r>
      <w:r>
        <w:rPr>
          <w:bCs/>
          <w:b/>
        </w:rPr>
        <w:t xml:space="preserve">Auditor</w:t>
      </w:r>
      <w:r>
        <w:t xml:space="preserve"> </w:t>
      </w:r>
      <w:r>
        <w:t xml:space="preserve">to facilitate continuous improvement.</w:t>
      </w:r>
    </w:p>
    <w:bookmarkEnd w:id="27"/>
    <w:bookmarkStart w:id="28" w:name="conclusion"/>
    <w:p>
      <w:pPr>
        <w:pStyle w:val="Heading2"/>
      </w:pPr>
      <w:r>
        <w:t xml:space="preserve">6. Conclusion</w:t>
      </w:r>
    </w:p>
    <w:p>
      <w:pPr>
        <w:pStyle w:val="FirstParagraph"/>
      </w:pPr>
      <w:r>
        <w:t xml:space="preserve">Based on the evidence gathered and the procedures performed, the review team concludes that the</w:t>
      </w:r>
      <w:r>
        <w:t xml:space="preserve"> </w:t>
      </w:r>
      <w:r>
        <w:rPr>
          <w:bCs/>
          <w:b/>
        </w:rPr>
        <w:t xml:space="preserve">Auditor</w:t>
      </w:r>
      <w:r>
        <w:t xml:space="preserve"> </w:t>
      </w:r>
      <w:r>
        <w:t xml:space="preserve">at the subject firm in</w:t>
      </w:r>
      <w:r>
        <w:t xml:space="preserve"> </w:t>
      </w:r>
      <w:r>
        <w:rPr>
          <w:bCs/>
          <w:b/>
        </w:rPr>
        <w:t xml:space="preserve">India Mumbai</w:t>
      </w:r>
      <w:r>
        <w:t xml:space="preserve"> </w:t>
      </w:r>
      <w:r>
        <w:t xml:space="preserve">maintains a high standard of professional practice. The audit work complies with the Standards on Auditing and the Code of Ethics issued by the ICAI. The</w:t>
      </w:r>
      <w:r>
        <w:t xml:space="preserve"> </w:t>
      </w:r>
      <w:r>
        <w:rPr>
          <w:bCs/>
          <w:b/>
        </w:rPr>
        <w:t xml:space="preserve">Auditor</w:t>
      </w:r>
      <w:r>
        <w:t xml:space="preserve"> </w:t>
      </w:r>
      <w:r>
        <w:t xml:space="preserve">demonstrates the necessary competence, integrity, and objectivity required to serve clients in the complex financial environment of Mumbai.</w:t>
      </w:r>
    </w:p>
    <w:p>
      <w:pPr>
        <w:pStyle w:val="BodyText"/>
      </w:pPr>
      <w:r>
        <w:t xml:space="preserve">This</w:t>
      </w:r>
      <w:r>
        <w:t xml:space="preserve"> </w:t>
      </w:r>
      <w:r>
        <w:rPr>
          <w:bCs/>
          <w:b/>
        </w:rPr>
        <w:t xml:space="preserve">Peer Review Report</w:t>
      </w:r>
      <w:r>
        <w:t xml:space="preserve"> </w:t>
      </w:r>
      <w:r>
        <w:t xml:space="preserve">serves as a testament to the firm's commitment to quality. It is recommended that the</w:t>
      </w:r>
      <w:r>
        <w:t xml:space="preserve"> </w:t>
      </w:r>
      <w:r>
        <w:rPr>
          <w:bCs/>
          <w:b/>
        </w:rPr>
        <w:t xml:space="preserve">Auditor</w:t>
      </w:r>
      <w:r>
        <w:t xml:space="preserve"> </w:t>
      </w:r>
      <w:r>
        <w:t xml:space="preserve">addresses the minor observations noted above to further enhance the quality of their audit services. The firm is deemed suitable to continue providing audit services to public interest entities in</w:t>
      </w:r>
      <w:r>
        <w:t xml:space="preserve"> </w:t>
      </w:r>
      <w:r>
        <w:rPr>
          <w:bCs/>
          <w:b/>
        </w:rPr>
        <w:t xml:space="preserve">India Mumbai</w:t>
      </w:r>
      <w:r>
        <w:t xml:space="preserve">.</w:t>
      </w:r>
    </w:p>
    <w:p>
      <w:pPr>
        <w:pStyle w:val="BodyText"/>
      </w:pPr>
      <w:r>
        <w:rPr>
          <w:bCs/>
          <w:b/>
        </w:rPr>
        <w:t xml:space="preserve">Lead Reviewer</w:t>
      </w:r>
    </w:p>
    <w:p>
      <w:pPr>
        <w:pStyle w:val="BodyText"/>
      </w:pPr>
      <w:r>
        <w:t xml:space="preserve">[Name of Reviewer]</w:t>
      </w:r>
    </w:p>
    <w:p>
      <w:pPr>
        <w:pStyle w:val="BodyText"/>
      </w:pPr>
      <w:r>
        <w:t xml:space="preserve">Partner, Peer Review Team</w:t>
      </w:r>
    </w:p>
    <w:p>
      <w:pPr>
        <w:pStyle w:val="BodyText"/>
      </w:pPr>
      <w:r>
        <w:t xml:space="preserve">ICAI Registration No: [Number]</w:t>
      </w:r>
    </w:p>
    <w:p>
      <w:pPr>
        <w:pStyle w:val="BodyText"/>
      </w:pPr>
      <w:r>
        <w:rPr>
          <w:bCs/>
          <w:b/>
        </w:rPr>
        <w:t xml:space="preserve">Accepted by</w:t>
      </w:r>
    </w:p>
    <w:p>
      <w:pPr>
        <w:pStyle w:val="BodyText"/>
      </w:pPr>
      <w:r>
        <w:t xml:space="preserve">[Name of Principal Auditor]</w:t>
      </w:r>
    </w:p>
    <w:p>
      <w:pPr>
        <w:pStyle w:val="BodyText"/>
      </w:pPr>
      <w:r>
        <w:t xml:space="preserve">Principal, [Name of Audit Firm]</w:t>
      </w:r>
    </w:p>
    <w:p>
      <w:pPr>
        <w:pStyle w:val="BodyText"/>
      </w:pPr>
      <w:r>
        <w:t xml:space="preserve">Mumbai, India</w:t>
      </w:r>
    </w:p>
    <w:p>
      <w:pPr>
        <w:pStyle w:val="BodyText"/>
      </w:pPr>
      <w:r>
        <w:t xml:space="preserve">This document is confidential and intended solely for the use of the addressee. It is prepared in accordance with the guidelines of the Institute of Chartered Accountants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Quality Assurance - India Mumbai</dc:title>
  <dc:creator/>
  <dc:language>en</dc:language>
  <cp:keywords/>
  <dcterms:created xsi:type="dcterms:W3CDTF">2026-10-10T06:55:19Z</dcterms:created>
  <dcterms:modified xsi:type="dcterms:W3CDTF">2026-10-10T06:55:19Z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