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Quality</w:t>
      </w:r>
      <w:r>
        <w:t xml:space="preserve"> </w:t>
      </w:r>
      <w:r>
        <w:t xml:space="preserve">Assurance</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t xml:space="preserve">Independent Quality Assurance Assessment of Audit Practices</w:t>
      </w:r>
    </w:p>
    <w:bookmarkEnd w:id="20"/>
    <w:p>
      <w:pPr>
        <w:pStyle w:val="BodyText"/>
      </w:pPr>
      <w:r>
        <w:rPr>
          <w:bCs/>
          <w:b/>
        </w:rPr>
        <w:t xml:space="preserve">Report Reference:</w:t>
      </w:r>
      <w:r>
        <w:t xml:space="preserve"> </w:t>
      </w:r>
      <w:r>
        <w:t xml:space="preserve">PR-JKT-2023-089</w:t>
      </w:r>
    </w:p>
    <w:p>
      <w:pPr>
        <w:pStyle w:val="BodyText"/>
      </w:pPr>
      <w:r>
        <w:rPr>
          <w:bCs/>
          <w:b/>
        </w:rPr>
        <w:t xml:space="preserve">Date of Issue:</w:t>
      </w:r>
      <w:r>
        <w:t xml:space="preserve"> </w:t>
      </w:r>
      <w:r>
        <w:t xml:space="preserve">October 24, 2023</w:t>
      </w:r>
    </w:p>
    <w:p>
      <w:pPr>
        <w:pStyle w:val="BodyText"/>
      </w:pPr>
      <w:r>
        <w:rPr>
          <w:bCs/>
          <w:b/>
        </w:rPr>
        <w:t xml:space="preserve">Subject Firm:</w:t>
      </w:r>
      <w:r>
        <w:t xml:space="preserve"> </w:t>
      </w:r>
      <w:r>
        <w:t xml:space="preserve">Jakarta Independent Audit Partners</w:t>
      </w:r>
    </w:p>
    <w:p>
      <w:pPr>
        <w:pStyle w:val="BodyText"/>
      </w:pPr>
      <w:r>
        <w:rPr>
          <w:bCs/>
          <w:b/>
        </w:rPr>
        <w:t xml:space="preserve">Location:</w:t>
      </w:r>
      <w:r>
        <w:t xml:space="preserve"> </w:t>
      </w:r>
      <w:r>
        <w:t xml:space="preserve">Indonesia Jakarta</w:t>
      </w:r>
    </w:p>
    <w:p>
      <w:pPr>
        <w:pStyle w:val="BodyText"/>
      </w:pPr>
      <w:r>
        <w:rPr>
          <w:bCs/>
          <w:b/>
        </w:rPr>
        <w:t xml:space="preserve">Review Period:</w:t>
      </w:r>
      <w:r>
        <w:t xml:space="preserve"> </w:t>
      </w:r>
      <w:r>
        <w:t xml:space="preserve">January 1, 2023 – June 30, 2023</w:t>
      </w:r>
    </w:p>
    <w:p>
      <w:pPr>
        <w:pStyle w:val="BodyText"/>
      </w:pPr>
      <w:r>
        <w:rPr>
          <w:bCs/>
          <w:b/>
        </w:rPr>
        <w:t xml:space="preserve">Reviewer:</w:t>
      </w:r>
      <w:r>
        <w:t xml:space="preserve"> </w:t>
      </w:r>
      <w:r>
        <w:t xml:space="preserve">Senior Quality Assurance Team</w:t>
      </w:r>
    </w:p>
    <w:bookmarkStart w:id="21"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documents the findings of an independent evaluation conducted on the audit quality systems and specific audit engagements of the subject firm located in</w:t>
      </w:r>
      <w:r>
        <w:t xml:space="preserve"> </w:t>
      </w:r>
      <w:r>
        <w:rPr>
          <w:bCs/>
          <w:b/>
        </w:rPr>
        <w:t xml:space="preserve">Indonesia Jakarta</w:t>
      </w:r>
      <w:r>
        <w:t xml:space="preserve">. The primary objective of this review is to assess whether the</w:t>
      </w:r>
      <w:r>
        <w:t xml:space="preserve"> </w:t>
      </w:r>
      <w:r>
        <w:rPr>
          <w:bCs/>
          <w:b/>
        </w:rPr>
        <w:t xml:space="preserve">Auditor</w:t>
      </w:r>
      <w:r>
        <w:t xml:space="preserve"> </w:t>
      </w:r>
      <w:r>
        <w:t xml:space="preserve">and their firm maintain professional standards consistent with the Indonesian Standards on Auditing (ISA Indonesia), which are substantially converged with International Standards on Auditing (ISA).</w:t>
      </w:r>
    </w:p>
    <w:p>
      <w:pPr>
        <w:pStyle w:val="BodyText"/>
      </w:pPr>
      <w:r>
        <w:t xml:space="preserve">Given the dynamic economic landscape of</w:t>
      </w:r>
      <w:r>
        <w:t xml:space="preserve"> </w:t>
      </w:r>
      <w:r>
        <w:rPr>
          <w:bCs/>
          <w:b/>
        </w:rPr>
        <w:t xml:space="preserve">Indonesia Jakarta</w:t>
      </w:r>
      <w:r>
        <w:t xml:space="preserve">, the financial capital of the nation, the review places significant emphasis on the</w:t>
      </w:r>
      <w:r>
        <w:t xml:space="preserve"> </w:t>
      </w:r>
      <w:r>
        <w:rPr>
          <w:bCs/>
          <w:b/>
        </w:rPr>
        <w:t xml:space="preserve">Auditor</w:t>
      </w:r>
      <w:r>
        <w:t xml:space="preserve">'s ability to navigate complex regulatory environments, including those set forth by the Financial Services Authority (OJK) and the Indonesian Institute of Certified Public Accountants (IAPI). The scope of this</w:t>
      </w:r>
      <w:r>
        <w:t xml:space="preserve"> </w:t>
      </w:r>
      <w:r>
        <w:rPr>
          <w:bCs/>
          <w:b/>
        </w:rPr>
        <w:t xml:space="preserve">Peer Review Report</w:t>
      </w:r>
      <w:r>
        <w:t xml:space="preserve"> </w:t>
      </w:r>
      <w:r>
        <w:t xml:space="preserve">encompasses a comprehensive examination of the firm's quality control policies, risk assessment methodologies, and the execution of specific audit files selected from the firm's portfolio in the Jakarta metropolitan area.</w:t>
      </w:r>
    </w:p>
    <w:bookmarkEnd w:id="21"/>
    <w:bookmarkStart w:id="22" w:name="regulatory-framework-and-compliance"/>
    <w:p>
      <w:pPr>
        <w:pStyle w:val="Heading2"/>
      </w:pPr>
      <w:r>
        <w:t xml:space="preserve">2. Regulatory Framework and Compliance</w:t>
      </w:r>
    </w:p>
    <w:p>
      <w:pPr>
        <w:pStyle w:val="FirstParagraph"/>
      </w:pPr>
      <w:r>
        <w:t xml:space="preserve">The review evaluated the</w:t>
      </w:r>
      <w:r>
        <w:t xml:space="preserve"> </w:t>
      </w:r>
      <w:r>
        <w:rPr>
          <w:bCs/>
          <w:b/>
        </w:rPr>
        <w:t xml:space="preserve">Auditor</w:t>
      </w:r>
      <w:r>
        <w:t xml:space="preserve">'s adherence to the Code of Ethics for Professional Accountants in Indonesia. In the context of</w:t>
      </w:r>
      <w:r>
        <w:t xml:space="preserve"> </w:t>
      </w:r>
      <w:r>
        <w:rPr>
          <w:bCs/>
          <w:b/>
        </w:rPr>
        <w:t xml:space="preserve">Indonesia Jakarta</w:t>
      </w:r>
      <w:r>
        <w:t xml:space="preserve">, where corporate governance scrutiny is high, the</w:t>
      </w:r>
      <w:r>
        <w:t xml:space="preserve"> </w:t>
      </w:r>
      <w:r>
        <w:rPr>
          <w:bCs/>
          <w:b/>
        </w:rPr>
        <w:t xml:space="preserve">Peer Review Report</w:t>
      </w:r>
      <w:r>
        <w:t xml:space="preserve"> </w:t>
      </w:r>
      <w:r>
        <w:t xml:space="preserve">confirms that the firm has established robust mechanisms to ensure independence and objectivity. The</w:t>
      </w:r>
      <w:r>
        <w:t xml:space="preserve"> </w:t>
      </w:r>
      <w:r>
        <w:rPr>
          <w:bCs/>
          <w:b/>
        </w:rPr>
        <w:t xml:space="preserve">Auditor</w:t>
      </w:r>
      <w:r>
        <w:t xml:space="preserve"> </w:t>
      </w:r>
      <w:r>
        <w:t xml:space="preserve">was found to be compliant with the mandatory rotation requirements for audit partners, a critical aspect of maintaining public trust in the financial reporting ecosystem of Jakarta.</w:t>
      </w:r>
    </w:p>
    <w:p>
      <w:pPr>
        <w:pStyle w:val="BodyText"/>
      </w:pPr>
      <w:r>
        <w:t xml:space="preserve">Furthermore, the review assessed the firm's compliance with the Law on the Accounting Profession (UU Akuntan). The</w:t>
      </w:r>
      <w:r>
        <w:t xml:space="preserve"> </w:t>
      </w:r>
      <w:r>
        <w:rPr>
          <w:bCs/>
          <w:b/>
        </w:rPr>
        <w:t xml:space="preserve">Auditor</w:t>
      </w:r>
      <w:r>
        <w:t xml:space="preserve"> </w:t>
      </w:r>
      <w:r>
        <w:t xml:space="preserve">demonstrated a thorough understanding of local tax regulations and corporate laws specific to the Jakarta region. The</w:t>
      </w:r>
      <w:r>
        <w:t xml:space="preserve"> </w:t>
      </w:r>
      <w:r>
        <w:rPr>
          <w:bCs/>
          <w:b/>
        </w:rPr>
        <w:t xml:space="preserve">Peer Review Report</w:t>
      </w:r>
      <w:r>
        <w:t xml:space="preserve"> </w:t>
      </w:r>
      <w:r>
        <w:t xml:space="preserve">notes that the firm's internal training programs effectively keep the audit staff updated on the latest amendments to Indonesian financial reporting standards (SAK), ensuring that the</w:t>
      </w:r>
      <w:r>
        <w:t xml:space="preserve"> </w:t>
      </w:r>
      <w:r>
        <w:rPr>
          <w:bCs/>
          <w:b/>
        </w:rPr>
        <w:t xml:space="preserve">Auditor</w:t>
      </w:r>
      <w:r>
        <w:t xml:space="preserve"> </w:t>
      </w:r>
      <w:r>
        <w:t xml:space="preserve">remains competent in a rapidly evolving regulatory environment.</w:t>
      </w:r>
    </w:p>
    <w:bookmarkEnd w:id="22"/>
    <w:bookmarkStart w:id="23" w:name="quality-control-systems"/>
    <w:p>
      <w:pPr>
        <w:pStyle w:val="Heading2"/>
      </w:pPr>
      <w:r>
        <w:t xml:space="preserve">3. Quality Control Systems</w:t>
      </w:r>
    </w:p>
    <w:p>
      <w:pPr>
        <w:pStyle w:val="FirstParagraph"/>
      </w:pPr>
      <w:r>
        <w:t xml:space="preserve">A central component of this</w:t>
      </w:r>
      <w:r>
        <w:t xml:space="preserve"> </w:t>
      </w:r>
      <w:r>
        <w:rPr>
          <w:bCs/>
          <w:b/>
        </w:rPr>
        <w:t xml:space="preserve">Peer Review Report</w:t>
      </w:r>
      <w:r>
        <w:t xml:space="preserve"> </w:t>
      </w:r>
      <w:r>
        <w:t xml:space="preserve">is the evaluation of the firm's system of quality control. The review team examined the firm's policies regarding leadership responsibilities, ethical requirements, and acceptance of client relationships. The findings indicate that the</w:t>
      </w:r>
      <w:r>
        <w:t xml:space="preserve"> </w:t>
      </w:r>
      <w:r>
        <w:rPr>
          <w:bCs/>
          <w:b/>
        </w:rPr>
        <w:t xml:space="preserve">Auditor</w:t>
      </w:r>
      <w:r>
        <w:t xml:space="preserve"> </w:t>
      </w:r>
      <w:r>
        <w:t xml:space="preserve">operates within a structured framework that prioritizes audit quality over commercial considerations.</w:t>
      </w:r>
    </w:p>
    <w:p>
      <w:pPr>
        <w:pStyle w:val="BodyText"/>
      </w:pPr>
      <w:r>
        <w:t xml:space="preserve">Specifically, the</w:t>
      </w:r>
      <w:r>
        <w:t xml:space="preserve"> </w:t>
      </w:r>
      <w:r>
        <w:rPr>
          <w:bCs/>
          <w:b/>
        </w:rPr>
        <w:t xml:space="preserve">Peer Review Report</w:t>
      </w:r>
      <w:r>
        <w:t xml:space="preserve"> </w:t>
      </w:r>
      <w:r>
        <w:t xml:space="preserve">highlights the effectiveness of the firm's engagement quality control review (EQCR) process. For high-risk engagements in</w:t>
      </w:r>
      <w:r>
        <w:t xml:space="preserve"> </w:t>
      </w:r>
      <w:r>
        <w:rPr>
          <w:bCs/>
          <w:b/>
        </w:rPr>
        <w:t xml:space="preserve">Indonesia Jakarta</w:t>
      </w:r>
      <w:r>
        <w:t xml:space="preserve">, the</w:t>
      </w:r>
      <w:r>
        <w:t xml:space="preserve"> </w:t>
      </w:r>
      <w:r>
        <w:rPr>
          <w:bCs/>
          <w:b/>
        </w:rPr>
        <w:t xml:space="preserve">Auditor</w:t>
      </w:r>
      <w:r>
        <w:t xml:space="preserve"> </w:t>
      </w:r>
      <w:r>
        <w:t xml:space="preserve">ensures that an independent partner reviews the significant judgments and conclusions before the issuance of the audit report. This layer of oversight is crucial for mitigating risks associated with complex transactions often found in Jakarta's corporate sector. The</w:t>
      </w:r>
      <w:r>
        <w:t xml:space="preserve"> </w:t>
      </w:r>
      <w:r>
        <w:rPr>
          <w:bCs/>
          <w:b/>
        </w:rPr>
        <w:t xml:space="preserve">Auditor</w:t>
      </w:r>
      <w:r>
        <w:t xml:space="preserve"> </w:t>
      </w:r>
      <w:r>
        <w:t xml:space="preserve">has implemented a digital documentation system that enhances the traceability of audit evidence, a practice that aligns with modern quality assurance expectations.</w:t>
      </w:r>
    </w:p>
    <w:bookmarkEnd w:id="23"/>
    <w:bookmarkStart w:id="24" w:name="evaluation-of-audit-engagements"/>
    <w:p>
      <w:pPr>
        <w:pStyle w:val="Heading2"/>
      </w:pPr>
      <w:r>
        <w:t xml:space="preserve">4. Evaluation of Audit Engagements</w:t>
      </w:r>
    </w:p>
    <w:p>
      <w:pPr>
        <w:pStyle w:val="FirstParagraph"/>
      </w:pPr>
      <w:r>
        <w:t xml:space="preserve">The</w:t>
      </w:r>
      <w:r>
        <w:t xml:space="preserve"> </w:t>
      </w:r>
      <w:r>
        <w:rPr>
          <w:bCs/>
          <w:b/>
        </w:rPr>
        <w:t xml:space="preserve">Peer Review Report</w:t>
      </w:r>
      <w:r>
        <w:t xml:space="preserve"> </w:t>
      </w:r>
      <w:r>
        <w:t xml:space="preserve">includes a detailed analysis of five selected audit files. These engagements were chosen to represent a cross-section of industries prevalent in</w:t>
      </w:r>
      <w:r>
        <w:t xml:space="preserve"> </w:t>
      </w:r>
      <w:r>
        <w:rPr>
          <w:bCs/>
          <w:b/>
        </w:rPr>
        <w:t xml:space="preserve">Indonesia Jakarta</w:t>
      </w:r>
      <w:r>
        <w:t xml:space="preserve">, including manufacturing, financial services, and technology. The review focused on the</w:t>
      </w:r>
      <w:r>
        <w:t xml:space="preserve"> </w:t>
      </w:r>
      <w:r>
        <w:rPr>
          <w:bCs/>
          <w:b/>
        </w:rPr>
        <w:t xml:space="preserve">Auditor</w:t>
      </w:r>
      <w:r>
        <w:t xml:space="preserve">'s application of professional skepticism and the adequacy of audit evidence obtained.</w:t>
      </w:r>
    </w:p>
    <w:p>
      <w:pPr>
        <w:pStyle w:val="BodyText"/>
      </w:pPr>
      <w:r>
        <w:t xml:space="preserve">In the reviewed files, the</w:t>
      </w:r>
      <w:r>
        <w:t xml:space="preserve"> </w:t>
      </w:r>
      <w:r>
        <w:rPr>
          <w:bCs/>
          <w:b/>
        </w:rPr>
        <w:t xml:space="preserve">Auditor</w:t>
      </w:r>
      <w:r>
        <w:t xml:space="preserve"> </w:t>
      </w:r>
      <w:r>
        <w:t xml:space="preserve">demonstrated a rigorous approach to risk assessment. The</w:t>
      </w:r>
      <w:r>
        <w:t xml:space="preserve"> </w:t>
      </w:r>
      <w:r>
        <w:rPr>
          <w:bCs/>
          <w:b/>
        </w:rPr>
        <w:t xml:space="preserve">Peer Review Report</w:t>
      </w:r>
      <w:r>
        <w:t xml:space="preserve"> </w:t>
      </w:r>
      <w:r>
        <w:t xml:space="preserve">commends the</w:t>
      </w:r>
      <w:r>
        <w:t xml:space="preserve"> </w:t>
      </w:r>
      <w:r>
        <w:rPr>
          <w:bCs/>
          <w:b/>
        </w:rPr>
        <w:t xml:space="preserve">Auditor</w:t>
      </w:r>
      <w:r>
        <w:t xml:space="preserve"> </w:t>
      </w:r>
      <w:r>
        <w:t xml:space="preserve">for identifying significant risks related to revenue recognition and inventory valuation. The audit procedures designed to address these risks were appropriate and effectively executed. The</w:t>
      </w:r>
      <w:r>
        <w:t xml:space="preserve"> </w:t>
      </w:r>
      <w:r>
        <w:rPr>
          <w:bCs/>
          <w:b/>
        </w:rPr>
        <w:t xml:space="preserve">Auditor</w:t>
      </w:r>
      <w:r>
        <w:t xml:space="preserve"> </w:t>
      </w:r>
      <w:r>
        <w:t xml:space="preserve">showed particular diligence in verifying transactions with related parties, a common area of concern in the Indonesian market.</w:t>
      </w:r>
    </w:p>
    <w:p>
      <w:pPr>
        <w:pStyle w:val="BodyText"/>
      </w:pPr>
      <w:r>
        <w:t xml:space="preserve">However, the</w:t>
      </w:r>
      <w:r>
        <w:t xml:space="preserve"> </w:t>
      </w:r>
      <w:r>
        <w:rPr>
          <w:bCs/>
          <w:b/>
        </w:rPr>
        <w:t xml:space="preserve">Peer Review Report</w:t>
      </w:r>
      <w:r>
        <w:t xml:space="preserve"> </w:t>
      </w:r>
      <w:r>
        <w:t xml:space="preserve">also identified areas for improvement. In one instance, the documentation regarding the assessment of going concern assumptions was deemed insufficiently detailed. While the</w:t>
      </w:r>
      <w:r>
        <w:t xml:space="preserve"> </w:t>
      </w:r>
      <w:r>
        <w:rPr>
          <w:bCs/>
          <w:b/>
        </w:rPr>
        <w:t xml:space="preserve">Auditor</w:t>
      </w:r>
      <w:r>
        <w:t xml:space="preserve">'s conclusion was correct, the</w:t>
      </w:r>
      <w:r>
        <w:t xml:space="preserve"> </w:t>
      </w:r>
      <w:r>
        <w:rPr>
          <w:bCs/>
          <w:b/>
        </w:rPr>
        <w:t xml:space="preserve">Peer Review Report</w:t>
      </w:r>
      <w:r>
        <w:t xml:space="preserve"> </w:t>
      </w:r>
      <w:r>
        <w:t xml:space="preserve">recommends that future audit files provide more explicit evidence of the analysis performed, particularly given the economic volatility that can impact businesses in</w:t>
      </w:r>
      <w:r>
        <w:t xml:space="preserve"> </w:t>
      </w:r>
      <w:r>
        <w:rPr>
          <w:bCs/>
          <w:b/>
        </w:rPr>
        <w:t xml:space="preserve">Indonesia Jakarta</w:t>
      </w:r>
      <w:r>
        <w:t xml:space="preserve">.</w:t>
      </w:r>
    </w:p>
    <w:bookmarkEnd w:id="24"/>
    <w:bookmarkStart w:id="25" w:name="X79bdb801a6105f222ab696b9bcce4e599b1e393"/>
    <w:p>
      <w:pPr>
        <w:pStyle w:val="Heading2"/>
      </w:pPr>
      <w:r>
        <w:t xml:space="preserve">5. Professional Competence and Continuing Education</w:t>
      </w:r>
    </w:p>
    <w:p>
      <w:pPr>
        <w:pStyle w:val="FirstParagraph"/>
      </w:pPr>
      <w:r>
        <w:t xml:space="preserve">The competence of the</w:t>
      </w:r>
      <w:r>
        <w:t xml:space="preserve"> </w:t>
      </w:r>
      <w:r>
        <w:rPr>
          <w:bCs/>
          <w:b/>
        </w:rPr>
        <w:t xml:space="preserve">Auditor</w:t>
      </w:r>
      <w:r>
        <w:t xml:space="preserve"> </w:t>
      </w:r>
      <w:r>
        <w:t xml:space="preserve">is a cornerstone of audit quality. This</w:t>
      </w:r>
      <w:r>
        <w:t xml:space="preserve"> </w:t>
      </w:r>
      <w:r>
        <w:rPr>
          <w:bCs/>
          <w:b/>
        </w:rPr>
        <w:t xml:space="preserve">Peer Review Report</w:t>
      </w:r>
      <w:r>
        <w:t xml:space="preserve"> </w:t>
      </w:r>
      <w:r>
        <w:t xml:space="preserve">assessed the firm's commitment to continuing professional development (CPD). The review found that the firm in</w:t>
      </w:r>
      <w:r>
        <w:t xml:space="preserve"> </w:t>
      </w:r>
      <w:r>
        <w:rPr>
          <w:bCs/>
          <w:b/>
        </w:rPr>
        <w:t xml:space="preserve">Indonesia Jakarta</w:t>
      </w:r>
      <w:r>
        <w:t xml:space="preserve"> </w:t>
      </w:r>
      <w:r>
        <w:t xml:space="preserve">actively encourages its staff to participate in seminars and workshops organized by IAPI and other professional bodies.</w:t>
      </w:r>
    </w:p>
    <w:p>
      <w:pPr>
        <w:pStyle w:val="BodyText"/>
      </w:pPr>
      <w:r>
        <w:t xml:space="preserve">The</w:t>
      </w:r>
      <w:r>
        <w:t xml:space="preserve"> </w:t>
      </w:r>
      <w:r>
        <w:rPr>
          <w:bCs/>
          <w:b/>
        </w:rPr>
        <w:t xml:space="preserve">Auditor</w:t>
      </w:r>
      <w:r>
        <w:t xml:space="preserve"> </w:t>
      </w:r>
      <w:r>
        <w:t xml:space="preserve">team members reviewed were found to possess the necessary technical skills and industry knowledge. The</w:t>
      </w:r>
      <w:r>
        <w:t xml:space="preserve"> </w:t>
      </w:r>
      <w:r>
        <w:rPr>
          <w:bCs/>
          <w:b/>
        </w:rPr>
        <w:t xml:space="preserve">Peer Review Report</w:t>
      </w:r>
      <w:r>
        <w:t xml:space="preserve"> </w:t>
      </w:r>
      <w:r>
        <w:t xml:space="preserve">notes that the firm has a mentorship program where senior auditors guide junior staff, ensuring the transfer of knowledge and the maintenance of high professional standards. This is particularly important in</w:t>
      </w:r>
      <w:r>
        <w:t xml:space="preserve"> </w:t>
      </w:r>
      <w:r>
        <w:rPr>
          <w:bCs/>
          <w:b/>
        </w:rPr>
        <w:t xml:space="preserve">Indonesia Jakarta</w:t>
      </w:r>
      <w:r>
        <w:t xml:space="preserve">, where the complexity of financial instruments and corporate structures requires a highly skilled workforce.</w:t>
      </w:r>
    </w:p>
    <w:bookmarkEnd w:id="25"/>
    <w:bookmarkStart w:id="26"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provides a positive assessment of the audit quality systems and practices of the subject firm. The</w:t>
      </w:r>
      <w:r>
        <w:t xml:space="preserve"> </w:t>
      </w:r>
      <w:r>
        <w:rPr>
          <w:bCs/>
          <w:b/>
        </w:rPr>
        <w:t xml:space="preserve">Auditor</w:t>
      </w:r>
      <w:r>
        <w:t xml:space="preserve"> </w:t>
      </w:r>
      <w:r>
        <w:t xml:space="preserve">has demonstrated a strong commitment to professional standards and ethical conduct. The firm's operations in</w:t>
      </w:r>
      <w:r>
        <w:t xml:space="preserve"> </w:t>
      </w:r>
      <w:r>
        <w:rPr>
          <w:bCs/>
          <w:b/>
        </w:rPr>
        <w:t xml:space="preserve">Indonesia Jakarta</w:t>
      </w:r>
      <w:r>
        <w:t xml:space="preserve"> </w:t>
      </w:r>
      <w:r>
        <w:t xml:space="preserve">are characterized by a robust quality control framework and a competent audit team.</w:t>
      </w:r>
    </w:p>
    <w:p>
      <w:pPr>
        <w:pStyle w:val="BodyText"/>
      </w:pPr>
      <w:r>
        <w:t xml:space="preserve">The</w:t>
      </w:r>
      <w:r>
        <w:t xml:space="preserve"> </w:t>
      </w:r>
      <w:r>
        <w:rPr>
          <w:bCs/>
          <w:b/>
        </w:rPr>
        <w:t xml:space="preserve">Peer Review Report</w:t>
      </w:r>
      <w:r>
        <w:t xml:space="preserve"> </w:t>
      </w:r>
      <w:r>
        <w:t xml:space="preserve">recommends that the firm continue to enhance its documentation practices, particularly regarding complex accounting estimates. Additionally, the</w:t>
      </w:r>
      <w:r>
        <w:t xml:space="preserve"> </w:t>
      </w:r>
      <w:r>
        <w:rPr>
          <w:bCs/>
          <w:b/>
        </w:rPr>
        <w:t xml:space="preserve">Auditor</w:t>
      </w:r>
      <w:r>
        <w:t xml:space="preserve"> </w:t>
      </w:r>
      <w:r>
        <w:t xml:space="preserve">should consider further integrating data analytics into their audit methodologies to improve efficiency and effectiveness. By addressing these minor areas for improvement, the firm will further solidify its reputation as a leader in audit quality within</w:t>
      </w:r>
      <w:r>
        <w:t xml:space="preserve"> </w:t>
      </w:r>
      <w:r>
        <w:rPr>
          <w:bCs/>
          <w:b/>
        </w:rPr>
        <w:t xml:space="preserve">Indonesia Jakarta</w:t>
      </w:r>
      <w:r>
        <w:t xml:space="preserve">.</w:t>
      </w:r>
    </w:p>
    <w:p>
      <w:pPr>
        <w:pStyle w:val="BodyText"/>
      </w:pPr>
      <w:r>
        <w:rPr>
          <w:bCs/>
          <w:b/>
        </w:rPr>
        <w:t xml:space="preserve">Overall Rating:</w:t>
      </w:r>
      <w:r>
        <w:t xml:space="preserve"> </w:t>
      </w:r>
      <w:r>
        <w:t xml:space="preserve">Satisfactory with Recommendations. The</w:t>
      </w:r>
      <w:r>
        <w:t xml:space="preserve"> </w:t>
      </w:r>
      <w:r>
        <w:rPr>
          <w:bCs/>
          <w:b/>
        </w:rPr>
        <w:t xml:space="preserve">Auditor</w:t>
      </w:r>
      <w:r>
        <w:t xml:space="preserve"> </w:t>
      </w:r>
      <w:r>
        <w:t xml:space="preserve">meets the requirements for a peer review in good standing.</w:t>
      </w:r>
    </w:p>
    <w:p>
      <w:pPr>
        <w:pStyle w:val="BodyText"/>
      </w:pPr>
      <w:r>
        <w:rPr>
          <w:bCs/>
          <w:b/>
        </w:rPr>
        <w:t xml:space="preserve">Reviewed by:</w:t>
      </w:r>
    </w:p>
    <w:p>
      <w:pPr>
        <w:pStyle w:val="BodyText"/>
      </w:pPr>
      <w:r>
        <w:t xml:space="preserve">Dr. Sarah Wijaya, CPA</w:t>
      </w:r>
      <w:r>
        <w:br/>
      </w:r>
      <w:r>
        <w:t xml:space="preserve">Lead Peer Reviewer</w:t>
      </w:r>
      <w:r>
        <w:br/>
      </w:r>
      <w:r>
        <w:t xml:space="preserve">Quality Assurance Division</w:t>
      </w:r>
    </w:p>
    <w:p>
      <w:pPr>
        <w:pStyle w:val="BodyText"/>
      </w:pPr>
      <w:r>
        <w:rPr>
          <w:bCs/>
          <w:b/>
        </w:rPr>
        <w:t xml:space="preserve">Accepted by:</w:t>
      </w:r>
    </w:p>
    <w:p>
      <w:pPr>
        <w:pStyle w:val="BodyText"/>
      </w:pPr>
      <w:r>
        <w:t xml:space="preserve">Budi Santoso, CPA</w:t>
      </w:r>
      <w:r>
        <w:br/>
      </w:r>
      <w:r>
        <w:t xml:space="preserve">Managing Partner</w:t>
      </w:r>
      <w:r>
        <w:br/>
      </w:r>
      <w:r>
        <w:t xml:space="preserve">Jakarta Independent Audit Partners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Quality Assurance - Indonesia Jakarta</dc:title>
  <dc:creator/>
  <dc:language>en</dc:language>
  <cp:keywords/>
  <dcterms:created xsi:type="dcterms:W3CDTF">2026-10-10T06:30:14Z</dcterms:created>
  <dcterms:modified xsi:type="dcterms:W3CDTF">2026-10-10T06:30:14Z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