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Independent Quality Control Assessment</w:t>
      </w:r>
    </w:p>
    <w:p>
      <w:pPr>
        <w:pStyle w:val="BodyText"/>
      </w:pPr>
      <w:r>
        <w:rPr>
          <w:bCs/>
          <w:b/>
        </w:rPr>
        <w:t xml:space="preserve">Subject Auditor:</w:t>
      </w:r>
      <w:r>
        <w:t xml:space="preserve"> </w:t>
      </w:r>
      <w:r>
        <w:t xml:space="preserve">[Auditor Name]</w:t>
      </w:r>
    </w:p>
    <w:p>
      <w:pPr>
        <w:pStyle w:val="BodyText"/>
      </w:pPr>
      <w:r>
        <w:rPr>
          <w:bCs/>
          <w:b/>
        </w:rPr>
        <w:t xml:space="preserve">Review Date:</w:t>
      </w:r>
      <w:r>
        <w:t xml:space="preserve"> </w:t>
      </w:r>
      <w:r>
        <w:t xml:space="preserve">[Current Date]</w:t>
      </w:r>
    </w:p>
    <w:p>
      <w:pPr>
        <w:pStyle w:val="BodyText"/>
      </w:pPr>
      <w:r>
        <w:rPr>
          <w:bCs/>
          <w:b/>
        </w:rPr>
        <w:t xml:space="preserve">Location:</w:t>
      </w:r>
      <w:r>
        <w:t xml:space="preserve"> </w:t>
      </w:r>
      <w:r>
        <w:t xml:space="preserve">Tehran, Iran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competence, ethical adherence, and technical proficiency of the designated</w:t>
      </w:r>
      <w:r>
        <w:t xml:space="preserve"> </w:t>
      </w:r>
      <w:r>
        <w:rPr>
          <w:bCs/>
          <w:b/>
        </w:rPr>
        <w:t xml:space="preserve">Auditor</w:t>
      </w:r>
      <w:r>
        <w:t xml:space="preserve"> </w:t>
      </w:r>
      <w:r>
        <w:t xml:space="preserve">operating within the jurisdiction of</w:t>
      </w:r>
      <w:r>
        <w:t xml:space="preserve"> </w:t>
      </w:r>
      <w:r>
        <w:rPr>
          <w:bCs/>
          <w:b/>
        </w:rPr>
        <w:t xml:space="preserve">Iran, Tehran</w:t>
      </w:r>
      <w:r>
        <w:t xml:space="preserve">. The primary objective of this review is to ensure that the audit practices conducted by the subject align with the International Standards on Auditing (ISA) as adopted by the Iranian Institute of Certified Public Accountants (IICPA) and the specific regulatory requirements enforced by the Securities and Exchange Organization (SEO) of Iran.</w:t>
      </w:r>
    </w:p>
    <w:p>
      <w:pPr>
        <w:pStyle w:val="BodyText"/>
      </w:pPr>
      <w:r>
        <w:t xml:space="preserve">The review process involved a comprehensive examination of a sample of audit files selected from the fiscal year ending [Date]. The assessment focused on the Auditor's ability to navigate the complex economic environment of Tehran, including the handling of foreign currency fluctuations, inflation accounting, and compliance with local tax laws. The findings presented in this document reflect a rigorous analysis of the Auditor's work product, methodology, and professional judgment.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evaluation of the</w:t>
      </w:r>
      <w:r>
        <w:t xml:space="preserve"> </w:t>
      </w:r>
      <w:r>
        <w:rPr>
          <w:bCs/>
          <w:b/>
        </w:rPr>
        <w:t xml:space="preserve">Auditor</w:t>
      </w:r>
      <w:r>
        <w:t xml:space="preserve">'s quality control system and the execution of specific audit engagements. The review was conducted in accordance with the International Standard on Quality Control (ISQC) 1. The methodology included:</w:t>
      </w:r>
    </w:p>
    <w:p>
      <w:pPr>
        <w:numPr>
          <w:ilvl w:val="0"/>
          <w:numId w:val="1001"/>
        </w:numPr>
        <w:pStyle w:val="Compact"/>
      </w:pPr>
      <w:r>
        <w:rPr>
          <w:bCs/>
          <w:b/>
        </w:rPr>
        <w:t xml:space="preserve">Documentary Review:</w:t>
      </w:r>
      <w:r>
        <w:t xml:space="preserve"> </w:t>
      </w:r>
      <w:r>
        <w:t xml:space="preserve">Analysis of engagement letters, risk assessment documentation, audit programs, and working papers.</w:t>
      </w:r>
    </w:p>
    <w:p>
      <w:pPr>
        <w:numPr>
          <w:ilvl w:val="0"/>
          <w:numId w:val="1001"/>
        </w:numPr>
        <w:pStyle w:val="Compact"/>
      </w:pPr>
      <w:r>
        <w:rPr>
          <w:bCs/>
          <w:b/>
        </w:rPr>
        <w:t xml:space="preserve">Regulatory Compliance Check:</w:t>
      </w:r>
      <w:r>
        <w:t xml:space="preserve"> </w:t>
      </w:r>
      <w:r>
        <w:t xml:space="preserve">Verification of adherence to the Iranian Commercial Code and the Accounting Standards of the Islamic Republic of Iran.</w:t>
      </w:r>
    </w:p>
    <w:p>
      <w:pPr>
        <w:numPr>
          <w:ilvl w:val="0"/>
          <w:numId w:val="1001"/>
        </w:numPr>
        <w:pStyle w:val="Compact"/>
      </w:pPr>
      <w:r>
        <w:rPr>
          <w:bCs/>
          <w:b/>
        </w:rPr>
        <w:t xml:space="preserve">Interviews:</w:t>
      </w:r>
      <w:r>
        <w:t xml:space="preserve"> </w:t>
      </w:r>
      <w:r>
        <w:t xml:space="preserve">Discussions with the</w:t>
      </w:r>
      <w:r>
        <w:t xml:space="preserve"> </w:t>
      </w:r>
      <w:r>
        <w:rPr>
          <w:bCs/>
          <w:b/>
        </w:rPr>
        <w:t xml:space="preserve">Auditor</w:t>
      </w:r>
      <w:r>
        <w:t xml:space="preserve"> </w:t>
      </w:r>
      <w:r>
        <w:t xml:space="preserve">and key staff members regarding their understanding of audit risks specific to the Tehran market.</w:t>
      </w:r>
    </w:p>
    <w:p>
      <w:pPr>
        <w:pStyle w:val="FirstParagraph"/>
      </w:pPr>
      <w:r>
        <w:t xml:space="preserve">Special attention was paid to the Auditor's handling of entities operating in the Tehran Stock Exchange (TSE), ensuring that disclosures regarding related-party transactions and contingent liabilities were accurate and transparent.</w:t>
      </w:r>
    </w:p>
    <w:bookmarkEnd w:id="22"/>
    <w:bookmarkStart w:id="25" w:name="evaluation-of-professional-competence"/>
    <w:p>
      <w:pPr>
        <w:pStyle w:val="Heading2"/>
      </w:pPr>
      <w:r>
        <w:t xml:space="preserve">3. Evaluation of Professional Competence</w:t>
      </w:r>
    </w:p>
    <w:bookmarkStart w:id="23" w:name="technical-knowledge"/>
    <w:p>
      <w:pPr>
        <w:pStyle w:val="Heading3"/>
      </w:pPr>
      <w:r>
        <w:t xml:space="preserve">3.1 Technical Knowledge</w:t>
      </w:r>
    </w:p>
    <w:p>
      <w:pPr>
        <w:pStyle w:val="FirstParagraph"/>
      </w:pPr>
      <w:r>
        <w:t xml:space="preserve">The</w:t>
      </w:r>
      <w:r>
        <w:t xml:space="preserve"> </w:t>
      </w:r>
      <w:r>
        <w:rPr>
          <w:bCs/>
          <w:b/>
        </w:rPr>
        <w:t xml:space="preserve">Auditor</w:t>
      </w:r>
      <w:r>
        <w:t xml:space="preserve"> </w:t>
      </w:r>
      <w:r>
        <w:t xml:space="preserve">demonstrated a robust understanding of the technical requirements necessary for auditing in</w:t>
      </w:r>
      <w:r>
        <w:t xml:space="preserve"> </w:t>
      </w:r>
      <w:r>
        <w:rPr>
          <w:bCs/>
          <w:b/>
        </w:rPr>
        <w:t xml:space="preserve">Iran, Tehran</w:t>
      </w:r>
      <w:r>
        <w:t xml:space="preserve">. The review confirmed that the Auditor is well-versed in the specific accounting standards required for inflationary adjustments, which are critical given the economic conditions in the region. The working papers indicated a thorough application of ISA standards regarding revenue recognition and inventory valuation.</w:t>
      </w:r>
    </w:p>
    <w:p>
      <w:pPr>
        <w:pStyle w:val="BodyText"/>
      </w:pPr>
      <w:r>
        <w:t xml:space="preserve">Furthermore, the Auditor showed proficiency in evaluating internal controls within Iranian corporate structures. The documentation reflected a clear understanding of the legal obligations imposed on companies in Tehran, particularly regarding labor laws and social security contributions, which are frequent areas of audit risk.</w:t>
      </w:r>
    </w:p>
    <w:bookmarkEnd w:id="23"/>
    <w:bookmarkStart w:id="24" w:name="risk-assessment-and-materiality"/>
    <w:p>
      <w:pPr>
        <w:pStyle w:val="Heading3"/>
      </w:pPr>
      <w:r>
        <w:t xml:space="preserve">3.2 Risk Assessment and Materiality</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Auditor</w:t>
      </w:r>
      <w:r>
        <w:t xml:space="preserve"> </w:t>
      </w:r>
      <w:r>
        <w:t xml:space="preserve">identifies and responds to risks. The review found that the Auditor effectively identified risks associated with the volatility of the Iranian Rial. The audit strategy included appropriate procedures to verify the translation of foreign currency balances and the revaluation of monetary items.</w:t>
      </w:r>
    </w:p>
    <w:p>
      <w:pPr>
        <w:pStyle w:val="BodyText"/>
      </w:pPr>
      <w:r>
        <w:t xml:space="preserve">The determination of materiality was appropriate and consistent with the size and complexity of the entities audited in Tehran. The Auditor correctly adjusted materiality thresholds to account for the high-risk nature of certain sectors prevalent in the capital city, such as construction and manufacturing.</w:t>
      </w:r>
    </w:p>
    <w:bookmarkEnd w:id="24"/>
    <w:bookmarkEnd w:id="25"/>
    <w:bookmarkStart w:id="26" w:name="ethical-compliance-and-independence"/>
    <w:p>
      <w:pPr>
        <w:pStyle w:val="Heading2"/>
      </w:pPr>
      <w:r>
        <w:t xml:space="preserve">4. Ethical Compliance and Independence</w:t>
      </w:r>
    </w:p>
    <w:p>
      <w:pPr>
        <w:pStyle w:val="FirstParagraph"/>
      </w:pPr>
      <w:r>
        <w:t xml:space="preserve">Integrity and independence are paramount for any</w:t>
      </w:r>
      <w:r>
        <w:t xml:space="preserve"> </w:t>
      </w:r>
      <w:r>
        <w:rPr>
          <w:bCs/>
          <w:b/>
        </w:rPr>
        <w:t xml:space="preserve">Auditor</w:t>
      </w:r>
      <w:r>
        <w:t xml:space="preserve">. This</w:t>
      </w:r>
      <w:r>
        <w:t xml:space="preserve"> </w:t>
      </w:r>
      <w:r>
        <w:rPr>
          <w:bCs/>
          <w:b/>
        </w:rPr>
        <w:t xml:space="preserve">Peer Review Report</w:t>
      </w:r>
      <w:r>
        <w:t xml:space="preserve"> </w:t>
      </w:r>
      <w:r>
        <w:t xml:space="preserve">confirms that the subject Auditor adhered strictly to the Code of Ethics for Professional Accountants. There were no indications of conflicts of interest or impairments to independence during the reviewed engagements.</w:t>
      </w:r>
    </w:p>
    <w:p>
      <w:pPr>
        <w:pStyle w:val="BodyText"/>
      </w:pPr>
      <w:r>
        <w:t xml:space="preserve">The Auditor maintained appropriate professional skepticism, particularly when dealing with management representations regarding financial performance. In the context of</w:t>
      </w:r>
      <w:r>
        <w:t xml:space="preserve"> </w:t>
      </w:r>
      <w:r>
        <w:rPr>
          <w:bCs/>
          <w:b/>
        </w:rPr>
        <w:t xml:space="preserve">Iran, Tehran</w:t>
      </w:r>
      <w:r>
        <w:t xml:space="preserve">, where business relationships can be closely knit, the Auditor successfully maintained objectivity and documented their independence assessments thoroughly.</w:t>
      </w:r>
    </w:p>
    <w:bookmarkEnd w:id="26"/>
    <w:bookmarkStart w:id="27" w:name="quality-of-working-papers-and-reporting"/>
    <w:p>
      <w:pPr>
        <w:pStyle w:val="Heading2"/>
      </w:pPr>
      <w:r>
        <w:t xml:space="preserve">5. Quality of Working Papers and Reporting</w:t>
      </w:r>
    </w:p>
    <w:p>
      <w:pPr>
        <w:pStyle w:val="FirstParagraph"/>
      </w:pPr>
      <w:r>
        <w:t xml:space="preserve">The quality of the audit documentation was evaluated to ensure it provided sufficient evidence to support the audit opinion. The</w:t>
      </w:r>
      <w:r>
        <w:t xml:space="preserve"> </w:t>
      </w:r>
      <w:r>
        <w:rPr>
          <w:bCs/>
          <w:b/>
        </w:rPr>
        <w:t xml:space="preserve">Auditor</w:t>
      </w:r>
      <w:r>
        <w:t xml:space="preserve">'s working papers were well-organized, clearly indexed, and contained detailed cross-references. The documentation adequately supported the conclusions reached regarding significant accounting estimates and judgments.</w:t>
      </w:r>
    </w:p>
    <w:p>
      <w:pPr>
        <w:pStyle w:val="BodyText"/>
      </w:pPr>
      <w:r>
        <w:t xml:space="preserve">The audit reports issued by the</w:t>
      </w:r>
      <w:r>
        <w:t xml:space="preserve"> </w:t>
      </w:r>
      <w:r>
        <w:rPr>
          <w:bCs/>
          <w:b/>
        </w:rPr>
        <w:t xml:space="preserve">Auditor</w:t>
      </w:r>
      <w:r>
        <w:t xml:space="preserve"> </w:t>
      </w:r>
      <w:r>
        <w:t xml:space="preserve">were clear, concise, and compliant with the reporting standards mandated by the Iranian regulatory bodies. The reports accurately reflected the financial position of the audited entities and included necessary emphasis of matter paragraphs where applicable, such as going concern issues or significant uncertainties related to the economic environment in Tehran.</w:t>
      </w:r>
    </w:p>
    <w:bookmarkEnd w:id="27"/>
    <w:bookmarkStart w:id="28" w:name="findings-and-recommendations"/>
    <w:p>
      <w:pPr>
        <w:pStyle w:val="Heading2"/>
      </w:pPr>
      <w:r>
        <w:t xml:space="preserve">6. Findings and Recommendations</w:t>
      </w:r>
    </w:p>
    <w:p>
      <w:pPr>
        <w:pStyle w:val="FirstParagraph"/>
      </w:pPr>
      <w:r>
        <w:t xml:space="preserve">While the overall performance of the</w:t>
      </w:r>
      <w:r>
        <w:t xml:space="preserve"> </w:t>
      </w:r>
      <w:r>
        <w:rPr>
          <w:bCs/>
          <w:b/>
        </w:rPr>
        <w:t xml:space="preserve">Auditor</w:t>
      </w:r>
      <w:r>
        <w:t xml:space="preserve"> </w:t>
      </w:r>
      <w:r>
        <w:t xml:space="preserve">was rated as satisfactory, this</w:t>
      </w:r>
      <w:r>
        <w:t xml:space="preserve"> </w:t>
      </w:r>
      <w:r>
        <w:rPr>
          <w:bCs/>
          <w:b/>
        </w:rPr>
        <w:t xml:space="preserve">Peer Review Report</w:t>
      </w:r>
      <w:r>
        <w:t xml:space="preserve"> </w:t>
      </w:r>
      <w:r>
        <w:t xml:space="preserve">identifies a few areas for improvement to enhance the quality of future audits in</w:t>
      </w:r>
      <w:r>
        <w:t xml:space="preserve"> </w:t>
      </w:r>
      <w:r>
        <w:rPr>
          <w:bCs/>
          <w:b/>
        </w:rPr>
        <w:t xml:space="preserve">Iran, Tehran</w:t>
      </w:r>
      <w:r>
        <w:t xml:space="preserve">:</w:t>
      </w:r>
    </w:p>
    <w:p>
      <w:pPr>
        <w:numPr>
          <w:ilvl w:val="0"/>
          <w:numId w:val="1002"/>
        </w:numPr>
        <w:pStyle w:val="Compact"/>
      </w:pPr>
      <w:r>
        <w:rPr>
          <w:bCs/>
          <w:b/>
        </w:rPr>
        <w:t xml:space="preserve">Enhanced IT Audit Procedures:</w:t>
      </w:r>
      <w:r>
        <w:t xml:space="preserve"> </w:t>
      </w:r>
      <w:r>
        <w:t xml:space="preserve">As digital transformation accelerates in Tehran, the Auditor should further strengthen their IT audit capabilities to better assess cybersecurity risks and the reliability of automated financial systems.</w:t>
      </w:r>
    </w:p>
    <w:p>
      <w:pPr>
        <w:numPr>
          <w:ilvl w:val="0"/>
          <w:numId w:val="1002"/>
        </w:numPr>
        <w:pStyle w:val="Compact"/>
      </w:pPr>
      <w:r>
        <w:rPr>
          <w:bCs/>
          <w:b/>
        </w:rPr>
        <w:t xml:space="preserve">Documentation of Inflation Adjustments:</w:t>
      </w:r>
      <w:r>
        <w:t xml:space="preserve"> </w:t>
      </w:r>
      <w:r>
        <w:t xml:space="preserve">While the calculations were correct, the documentation explaining the methodology for inflation adjustments could be more detailed to facilitate easier review by external regulators.</w:t>
      </w:r>
    </w:p>
    <w:p>
      <w:pPr>
        <w:numPr>
          <w:ilvl w:val="0"/>
          <w:numId w:val="1002"/>
        </w:numPr>
        <w:pStyle w:val="Compact"/>
      </w:pPr>
      <w:r>
        <w:rPr>
          <w:bCs/>
          <w:b/>
        </w:rPr>
        <w:t xml:space="preserve">Continuing Professional Development:</w:t>
      </w:r>
      <w:r>
        <w:t xml:space="preserve"> </w:t>
      </w:r>
      <w:r>
        <w:t xml:space="preserve">It is recommended that the Auditor and their team engage in more frequent training sessions regarding updates to the Iranian Commercial Code and new SEO regulations.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maintains a high standard of professional practice. The Auditor demonstrates the necessary technical expertise, ethical integrity, and professional skepticism required to perform high-quality audits in the challenging economic landscape of</w:t>
      </w:r>
      <w:r>
        <w:t xml:space="preserve"> </w:t>
      </w:r>
      <w:r>
        <w:rPr>
          <w:bCs/>
          <w:b/>
        </w:rPr>
        <w:t xml:space="preserve">Iran, Tehran</w:t>
      </w:r>
      <w:r>
        <w:t xml:space="preserve">. The implementation of the recommendations outlined in Section 6 will further strengthen the Auditor's quality control system and ensure continued compliance with international and local standards.</w:t>
      </w:r>
    </w:p>
    <w:bookmarkEnd w:id="29"/>
    <w:p>
      <w:pPr>
        <w:pStyle w:val="BodyText"/>
      </w:pPr>
      <w:r>
        <w:rPr>
          <w:bCs/>
          <w:b/>
        </w:rPr>
        <w:t xml:space="preserve">Reviewed By:</w:t>
      </w:r>
    </w:p>
    <w:p>
      <w:pPr>
        <w:pStyle w:val="BodyText"/>
      </w:pPr>
      <w:r>
        <w:t xml:space="preserve">[Reviewer Name]</w:t>
      </w:r>
    </w:p>
    <w:p>
      <w:pPr>
        <w:pStyle w:val="BodyText"/>
      </w:pPr>
      <w:r>
        <w:t xml:space="preserve">Senior Peer Reviewer</w:t>
      </w:r>
    </w:p>
    <w:p>
      <w:pPr>
        <w:pStyle w:val="BodyText"/>
      </w:pPr>
      <w:r>
        <w:rPr>
          <w:bCs/>
          <w:b/>
        </w:rPr>
        <w:t xml:space="preserve">Acknowledged By:</w:t>
      </w:r>
    </w:p>
    <w:p>
      <w:pPr>
        <w:pStyle w:val="BodyText"/>
      </w:pPr>
      <w:r>
        <w:t xml:space="preserve">[Auditor Name]</w:t>
      </w:r>
    </w:p>
    <w:p>
      <w:pPr>
        <w:pStyle w:val="BodyText"/>
      </w:pPr>
      <w:r>
        <w:t xml:space="preserve">Lead Auditor</w:t>
      </w:r>
    </w:p>
    <w:p>
      <w:pPr>
        <w:pStyle w:val="BodyText"/>
      </w:pPr>
      <w:r>
        <w:t xml:space="preserve">This document is confidential and intended solely for the use of the addressee. Unauthorized distribution is prohibited.</w:t>
      </w:r>
    </w:p>
    <w:p>
      <w:pPr>
        <w:pStyle w:val="BodyText"/>
      </w:pPr>
      <w:r>
        <w:t xml:space="preserve">Prepared in accordance with the standards of the Iranian Institute of Certified Public Accountants.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