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Performance</w:t>
      </w:r>
      <w:r>
        <w:t xml:space="preserve"> </w:t>
      </w:r>
      <w:r>
        <w:t xml:space="preserve">in</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Ethical Compliance of the Auditor</w:t>
      </w:r>
    </w:p>
    <w:p>
      <w:pPr>
        <w:pStyle w:val="BodyText"/>
      </w:pPr>
      <w:r>
        <w:rPr>
          <w:bCs/>
          <w:b/>
        </w:rPr>
        <w:t xml:space="preserve">Location:</w:t>
      </w:r>
      <w:r>
        <w:t xml:space="preserve"> </w:t>
      </w:r>
      <w:r>
        <w:t xml:space="preserve">Iraq Baghdad</w:t>
      </w:r>
    </w:p>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technical competence, and ethical adherence of the designated Auditor operating within the jurisdiction of Iraq Baghdad. The purpose of this review is to ensure that the auditing practices align with the International Standards on Auditing (ISA), the regulations set forth by the Iraqi Institute of Chartered Accountants (IICA), and the specific legal frameworks governing financial reporting in the Republic of Iraq.</w:t>
      </w:r>
    </w:p>
    <w:p>
      <w:pPr>
        <w:pStyle w:val="BodyText"/>
      </w:pPr>
      <w:r>
        <w:t xml:space="preserve">Given the dynamic economic environment in Iraq Baghdad, characterized by rapid infrastructure development and evolving regulatory requirements, the role of the Auditor is critical. This report assesses whether the Auditor has maintained the necessary rigor, independence, and professional skepticism required to provide assurance to stakeholders in this specific geographic and economic context.</w:t>
      </w:r>
    </w:p>
    <w:bookmarkEnd w:id="21"/>
    <w:bookmarkStart w:id="22" w:name="regulatory-and-ethical-compliance"/>
    <w:p>
      <w:pPr>
        <w:pStyle w:val="Heading2"/>
      </w:pPr>
      <w:r>
        <w:t xml:space="preserve">2. Regulatory and Ethical Compliance</w:t>
      </w:r>
    </w:p>
    <w:p>
      <w:pPr>
        <w:pStyle w:val="FirstParagraph"/>
      </w:pPr>
      <w:r>
        <w:t xml:space="preserve">A fundamental aspect of this Peer Review Report is the examination of the Auditor's adherence to ethical standards. In Iraq Baghdad, auditors must navigate complex local business customs while maintaining strict independence. The review confirms that the Auditor has demonstrated a high level of integrity and objectivity.</w:t>
      </w:r>
    </w:p>
    <w:p>
      <w:pPr>
        <w:pStyle w:val="BodyText"/>
      </w:pPr>
      <w:r>
        <w:t xml:space="preserve">Specifically, the Auditor was evaluated on their compliance with the Code of Ethics for Professional Accountants. There were no identified instances of conflicts of interest or breaches of confidentiality regarding clients operating in Baghdad's commercial sectors. The Auditor has successfully maintained professional distance from management teams, ensuring that audit opinions are unbiased and reflective of the true financial position of the entities under review.</w:t>
      </w:r>
    </w:p>
    <w:bookmarkEnd w:id="22"/>
    <w:bookmarkStart w:id="23" w:name="technical-competence-and-methodology"/>
    <w:p>
      <w:pPr>
        <w:pStyle w:val="Heading2"/>
      </w:pPr>
      <w:r>
        <w:t xml:space="preserve">3. Technical Competence and Methodology</w:t>
      </w:r>
    </w:p>
    <w:p>
      <w:pPr>
        <w:pStyle w:val="FirstParagraph"/>
      </w:pPr>
      <w:r>
        <w:t xml:space="preserve">The technical proficiency of the Auditor was assessed through a detailed examination of working papers, audit plans, and final reports generated during the review period. The Auditor demonstrated a robust understanding of the International Financial Reporting Standards (IFRS) as adopted in Iraq.</w:t>
      </w:r>
    </w:p>
    <w:p>
      <w:pPr>
        <w:pStyle w:val="BodyText"/>
      </w:pPr>
      <w:r>
        <w:rPr>
          <w:bCs/>
          <w:b/>
        </w:rPr>
        <w:t xml:space="preserve">Risk Assessment:</w:t>
      </w:r>
      <w:r>
        <w:t xml:space="preserve"> </w:t>
      </w:r>
      <w:r>
        <w:t xml:space="preserve">The Auditor effectively identified significant risks relevant to the Iraqi market, including currency fluctuation risks involving the Iraqi Dinar (IQD) and USD, as well as risks associated with public sector procurement processes common in Baghdad. The risk assessment procedures were thorough and documented in accordance with ISA 315.</w:t>
      </w:r>
    </w:p>
    <w:p>
      <w:pPr>
        <w:pStyle w:val="BodyText"/>
      </w:pPr>
      <w:r>
        <w:rPr>
          <w:bCs/>
          <w:b/>
        </w:rPr>
        <w:t xml:space="preserve">Substantive Testing:</w:t>
      </w:r>
      <w:r>
        <w:t xml:space="preserve"> </w:t>
      </w:r>
      <w:r>
        <w:t xml:space="preserve">The sample sizes selected for substantive testing were appropriate for the materiality levels established. The Auditor showed particular diligence in verifying revenue recognition for construction and trading firms, which are prevalent in the Baghdad economy. The testing procedures provided sufficient appropriate audit evidence to support the audit opinion.</w:t>
      </w:r>
    </w:p>
    <w:bookmarkEnd w:id="23"/>
    <w:bookmarkStart w:id="24" w:name="adaptation-to-local-context-iraq-baghdad"/>
    <w:p>
      <w:pPr>
        <w:pStyle w:val="Heading2"/>
      </w:pPr>
      <w:r>
        <w:t xml:space="preserve">4. Adaptation to Local Context (Iraq Baghdad)</w:t>
      </w:r>
    </w:p>
    <w:p>
      <w:pPr>
        <w:pStyle w:val="FirstParagraph"/>
      </w:pPr>
      <w:r>
        <w:t xml:space="preserve">Operating in Iraq Baghdad requires specific cultural and logistical adaptability. This Peer Review Report highlights the Auditor's ability to manage fieldwork in a challenging environment. The Auditor demonstrated effective communication skills with local management and staff, bridging language and cultural gaps to obtain necessary audit evidence.</w:t>
      </w:r>
    </w:p>
    <w:p>
      <w:pPr>
        <w:pStyle w:val="BodyText"/>
      </w:pPr>
      <w:r>
        <w:t xml:space="preserve">Furthermore, the Auditor showed a keen awareness of local tax laws and commercial regulations enforced by the Baghdad Commercial Court and the Ministry of Finance. The audit reports accurately reflected compliance with local statutory requirements, ensuring that the entities audited are not exposed to unnecessary legal liabilities within the Iraqi jurisdiction.</w:t>
      </w:r>
    </w:p>
    <w:bookmarkEnd w:id="24"/>
    <w:bookmarkStart w:id="25" w:name="quality-control-and-documentation"/>
    <w:p>
      <w:pPr>
        <w:pStyle w:val="Heading2"/>
      </w:pPr>
      <w:r>
        <w:t xml:space="preserve">5. Quality Control and Documentation</w:t>
      </w:r>
    </w:p>
    <w:p>
      <w:pPr>
        <w:pStyle w:val="FirstParagraph"/>
      </w:pPr>
      <w:r>
        <w:t xml:space="preserve">The quality of audit documentation is a key indicator of an Auditor's reliability. The review found that the working papers were organized, complete, and referenced correctly. The documentation clearly supported the conclusions reached in the audit reports.</w:t>
      </w:r>
    </w:p>
    <w:p>
      <w:pPr>
        <w:pStyle w:val="BodyText"/>
      </w:pPr>
      <w:r>
        <w:t xml:space="preserve">The Auditor adhered to the firm's quality control policies, including the review of work by senior staff. In the context of Iraq Baghdad, where regulatory scrutiny is increasing, this level of documentation is essential for defending audit opinions if challenged by local authorities or stakeholders.</w:t>
      </w:r>
    </w:p>
    <w:bookmarkEnd w:id="25"/>
    <w:bookmarkStart w:id="26" w:name="areas-for-improvement"/>
    <w:p>
      <w:pPr>
        <w:pStyle w:val="Heading2"/>
      </w:pPr>
      <w:r>
        <w:t xml:space="preserve">6. Areas for Improvement</w:t>
      </w:r>
    </w:p>
    <w:p>
      <w:pPr>
        <w:pStyle w:val="FirstParagraph"/>
      </w:pPr>
      <w:r>
        <w:t xml:space="preserve">While the overall performance of the Auditor is satisfactory, this Peer Review Report identifies a few areas for enhancement:</w:t>
      </w:r>
    </w:p>
    <w:p>
      <w:pPr>
        <w:numPr>
          <w:ilvl w:val="0"/>
          <w:numId w:val="1001"/>
        </w:numPr>
        <w:pStyle w:val="Compact"/>
      </w:pPr>
      <w:r>
        <w:rPr>
          <w:bCs/>
          <w:b/>
        </w:rPr>
        <w:t xml:space="preserve">Technology Integration:</w:t>
      </w:r>
      <w:r>
        <w:t xml:space="preserve"> </w:t>
      </w:r>
      <w:r>
        <w:t xml:space="preserve">The Auditor should further integrate advanced data analytics tools to improve the efficiency of testing large datasets, which is increasingly common in Baghdad's banking and telecommunications sectors.</w:t>
      </w:r>
    </w:p>
    <w:p>
      <w:pPr>
        <w:numPr>
          <w:ilvl w:val="0"/>
          <w:numId w:val="1001"/>
        </w:numPr>
        <w:pStyle w:val="Compact"/>
      </w:pPr>
      <w:r>
        <w:rPr>
          <w:bCs/>
          <w:b/>
        </w:rPr>
        <w:t xml:space="preserve">Continuing Professional Development:</w:t>
      </w:r>
      <w:r>
        <w:t xml:space="preserve"> </w:t>
      </w:r>
      <w:r>
        <w:t xml:space="preserve">It is recommended that the Auditor pursue additional training on recent amendments to IFRS and specific Iraqi regulatory updates to maintain a competitive edge.</w:t>
      </w:r>
    </w:p>
    <w:bookmarkEnd w:id="26"/>
    <w:bookmarkStart w:id="27" w:name="conclusion"/>
    <w:p>
      <w:pPr>
        <w:pStyle w:val="Heading2"/>
      </w:pPr>
      <w:r>
        <w:t xml:space="preserve">7. Conclusion</w:t>
      </w:r>
    </w:p>
    <w:p>
      <w:pPr>
        <w:pStyle w:val="FirstParagraph"/>
      </w:pPr>
      <w:r>
        <w:t xml:space="preserve">Based on the evidence gathered during this Peer Review Report, it is concluded that the Auditor operating in Iraq Baghdad has performed their duties with professional competence, integrity, and due care. The Auditor's work meets the requirements of international standards and local Iraqi regulations. The Auditor is deemed fit to continue providing audit services in this region, contributing to the transparency and stability of the financial reporting landscape in Baghdad.</w:t>
      </w:r>
    </w:p>
    <w:bookmarkEnd w:id="27"/>
    <w:p>
      <w:pPr>
        <w:pStyle w:val="BodyText"/>
      </w:pPr>
      <w:r>
        <w:rPr>
          <w:bCs/>
          <w:b/>
        </w:rPr>
        <w:t xml:space="preserve">Reviewed By:</w:t>
      </w:r>
    </w:p>
    <w:p>
      <w:pPr>
        <w:pStyle w:val="BodyText"/>
      </w:pPr>
      <w:r>
        <w:t xml:space="preserve">Senior Peer Reviewer</w:t>
      </w:r>
    </w:p>
    <w:p>
      <w:pPr>
        <w:pStyle w:val="BodyText"/>
      </w:pPr>
      <w:r>
        <w:t xml:space="preserve">Independent Audit Quality Assurance Board</w:t>
      </w:r>
    </w:p>
    <w:p>
      <w:pPr>
        <w:pStyle w:val="BodyText"/>
      </w:pPr>
      <w:r>
        <w:rPr>
          <w:iCs/>
          <w:i/>
        </w:rPr>
        <w:t xml:space="preserve">Authorized for Iraq Baghdad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Performance in Iraq Baghdad</dc:title>
  <dc:creator/>
  <dc:language>en</dc:language>
  <cp:keywords/>
  <dcterms:created xsi:type="dcterms:W3CDTF">2026-10-10T12:43:41Z</dcterms:created>
  <dcterms:modified xsi:type="dcterms:W3CDTF">2026-10-10T12:43:41Z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