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and</w:t>
      </w:r>
      <w:r>
        <w:t xml:space="preserve"> </w:t>
      </w:r>
      <w:r>
        <w:t xml:space="preserve">Quality</w:t>
      </w:r>
      <w:r>
        <w:t xml:space="preserve"> </w:t>
      </w:r>
      <w:r>
        <w:t xml:space="preserve">Assurance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Control and Audit Methodology Assessment</w:t>
      </w:r>
    </w:p>
    <w:p>
      <w:pPr>
        <w:pStyle w:val="BodyText"/>
      </w:pPr>
      <w:r>
        <w:rPr>
          <w:bCs/>
          <w:b/>
        </w:rPr>
        <w:t xml:space="preserve">Location:</w:t>
      </w:r>
      <w:r>
        <w:t xml:space="preserve"> </w:t>
      </w:r>
      <w:r>
        <w:t xml:space="preserve">Israel Tel Aviv</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quality control systems and audit methodologies employed by the subject firm, hereafter referred to as the "Auditor." The review was conducted in accordance with the standards set forth by the Institute of Certified Public Accountants in Israel (ICPAI) and aligns with the International Standard on Quality Control (ISQC) 1. The primary objective of this assessment is to ensure that the Auditor, operating within the dynamic financial landscape of Israel Tel Aviv, maintains the highest levels of professional skepticism, independence, and technical competence.</w:t>
      </w:r>
    </w:p>
    <w:p>
      <w:pPr>
        <w:pStyle w:val="BodyText"/>
      </w:pPr>
      <w:r>
        <w:t xml:space="preserve">The review team examined a sample of audit files, interviewed key personnel, and assessed the firm's internal policies. The findings indicate that the Auditor generally adheres to the required standards, though specific areas regarding documentation and risk assessment require attention to fully meet the rigorous expectations of the Israeli regulatory environment.</w:t>
      </w:r>
    </w:p>
    <w:bookmarkEnd w:id="21"/>
    <w:bookmarkStart w:id="22" w:name="scope-and-methodology"/>
    <w:p>
      <w:pPr>
        <w:pStyle w:val="Heading2"/>
      </w:pPr>
      <w:r>
        <w:t xml:space="preserve">2. Scope and Methodology</w:t>
      </w:r>
    </w:p>
    <w:p>
      <w:pPr>
        <w:pStyle w:val="FirstParagraph"/>
      </w:pPr>
      <w:r>
        <w:t xml:space="preserve">The scope of this Peer Review Report encompasses the Auditor's quality control policies and procedures, specifically focusing on engagements conducted during the review period. The methodology involved a comprehensive analysis of the firm's operations in Israel Tel Aviv, considering the unique regulatory pressures and market conditions present in the region.</w:t>
      </w:r>
    </w:p>
    <w:p>
      <w:pPr>
        <w:pStyle w:val="BodyText"/>
      </w:pPr>
      <w:r>
        <w:t xml:space="preserve">The review team selected a representative sample of audit files, including both public and private sector clients. The evaluation criteria were based on the International Standards on Auditing (ISAs) as adopted by the ICPAI. Special attention was paid to the Auditor's adherence to local Israeli accounting standards and the specific requirements for audits of entities listed on the Tel Aviv Stock Exchange (TASE).</w:t>
      </w:r>
    </w:p>
    <w:bookmarkEnd w:id="22"/>
    <w:bookmarkStart w:id="26" w:name="quality-control-systems"/>
    <w:p>
      <w:pPr>
        <w:pStyle w:val="Heading2"/>
      </w:pPr>
      <w:r>
        <w:t xml:space="preserve">3. Quality Control Systems</w:t>
      </w:r>
    </w:p>
    <w:bookmarkStart w:id="23" w:name="leadership-responsibilities"/>
    <w:p>
      <w:pPr>
        <w:pStyle w:val="Heading3"/>
      </w:pPr>
      <w:r>
        <w:t xml:space="preserve">3.1 Leadership Responsibilities</w:t>
      </w:r>
    </w:p>
    <w:p>
      <w:pPr>
        <w:pStyle w:val="FirstParagraph"/>
      </w:pPr>
      <w:r>
        <w:t xml:space="preserve">The Auditor demonstrates a strong commitment to quality at the leadership level. The firm's partners in Israel Tel Aviv actively promote a culture where quality is prioritized over commercial considerations. However, the Peer Review Report notes that while leadership tone is positive, the formal communication of quality objectives to junior staff could be more structured and frequent.</w:t>
      </w:r>
    </w:p>
    <w:bookmarkEnd w:id="23"/>
    <w:bookmarkStart w:id="24" w:name="relevant-ethical-requirements"/>
    <w:p>
      <w:pPr>
        <w:pStyle w:val="Heading3"/>
      </w:pPr>
      <w:r>
        <w:t xml:space="preserve">3.2 Relevant Ethical Requirements</w:t>
      </w:r>
    </w:p>
    <w:p>
      <w:pPr>
        <w:pStyle w:val="FirstParagraph"/>
      </w:pPr>
      <w:r>
        <w:t xml:space="preserve">The firm has established robust policies regarding independence and conflict of interest. The Auditor maintains a comprehensive database of client relationships and financial interests, which is regularly updated. The review found no significant breaches of independence. Nevertheless, given the interconnected nature of the business community in Israel Tel Aviv, the report recommends enhancing the procedures for identifying and mitigating potential conflicts of interest in complex, multi-layered corporate structures.</w:t>
      </w:r>
    </w:p>
    <w:bookmarkEnd w:id="24"/>
    <w:bookmarkStart w:id="25" w:name="Xed529ca1b04c137b45b32787744cc0dc2ea0025"/>
    <w:p>
      <w:pPr>
        <w:pStyle w:val="Heading3"/>
      </w:pPr>
      <w:r>
        <w:t xml:space="preserve">3.3 Acceptance and Continuance of Client Relationships</w:t>
      </w:r>
    </w:p>
    <w:p>
      <w:pPr>
        <w:pStyle w:val="FirstParagraph"/>
      </w:pPr>
      <w:r>
        <w:t xml:space="preserve">The Auditor's procedures for accepting and continuing client relationships are generally adequate. The firm assesses the integrity of prospective clients and the competence of its own staff to perform the engagement. The Peer Review Report suggests that the Auditor should further document the rationale for accepting high-risk clients, particularly those operating in sectors subject to significant regulatory scrutiny in Israel.</w:t>
      </w:r>
    </w:p>
    <w:bookmarkEnd w:id="25"/>
    <w:bookmarkEnd w:id="26"/>
    <w:bookmarkStart w:id="30" w:name="audit-methodology-and-execution"/>
    <w:p>
      <w:pPr>
        <w:pStyle w:val="Heading2"/>
      </w:pPr>
      <w:r>
        <w:t xml:space="preserve">4. Audit Methodology and Execution</w:t>
      </w:r>
    </w:p>
    <w:bookmarkStart w:id="27" w:name="risk-assessment"/>
    <w:p>
      <w:pPr>
        <w:pStyle w:val="Heading3"/>
      </w:pPr>
      <w:r>
        <w:t xml:space="preserve">4.1 Risk Assessment</w:t>
      </w:r>
    </w:p>
    <w:p>
      <w:pPr>
        <w:pStyle w:val="FirstParagraph"/>
      </w:pPr>
      <w:r>
        <w:t xml:space="preserve">The Auditor employs a risk-based approach to auditing, which is consistent with ISA 315. The review team observed that the firm effectively identifies and assesses risks of material misstatement at both the financial statement and assertion levels. However, the Peer Review Report highlights that in some instances, the documentation of the link between identified risks and the audit procedures performed was insufficient. This is particularly relevant for audits involving complex financial instruments common in the Israel Tel Aviv financial sector.</w:t>
      </w:r>
    </w:p>
    <w:bookmarkEnd w:id="27"/>
    <w:bookmarkStart w:id="28" w:name="audit-evidence-and-documentation"/>
    <w:p>
      <w:pPr>
        <w:pStyle w:val="Heading3"/>
      </w:pPr>
      <w:r>
        <w:t xml:space="preserve">4.2 Audit Evidence and Documentation</w:t>
      </w:r>
    </w:p>
    <w:p>
      <w:pPr>
        <w:pStyle w:val="FirstParagraph"/>
      </w:pPr>
      <w:r>
        <w:t xml:space="preserve">The quality of audit evidence obtained by the Auditor is generally satisfactory. The firm's staff demonstrates a good understanding of the clients' businesses and industries. However, the Peer Review Report found inconsistencies in the completeness and clarity of audit documentation. Some working papers lacked sufficient detail to allow an experienced auditor, having no previous connection with the audit, to understand the nature, timing, and extent of the procedures performed. This is a critical area for improvement to ensure compliance with ISA 230.</w:t>
      </w:r>
    </w:p>
    <w:bookmarkEnd w:id="28"/>
    <w:bookmarkStart w:id="29" w:name="use-of-experts-and-internal-audit"/>
    <w:p>
      <w:pPr>
        <w:pStyle w:val="Heading3"/>
      </w:pPr>
      <w:r>
        <w:t xml:space="preserve">4.3 Use of Experts and Internal Audit</w:t>
      </w:r>
    </w:p>
    <w:p>
      <w:pPr>
        <w:pStyle w:val="FirstParagraph"/>
      </w:pPr>
      <w:r>
        <w:t xml:space="preserve">The Auditor appropriately utilizes the work of internal auditors and external experts when necessary. The review team noted that the firm has clear policies for evaluating the competence and objectivity of these parties. However, the Peer Review Report recommends that the Auditor enhance its procedures for supervising and reviewing the work of experts, particularly in areas such as IT audits and valuation of intangible assets, which are increasingly prevalent in the Israel Tel Aviv tech ecosystem.</w:t>
      </w:r>
    </w:p>
    <w:bookmarkEnd w:id="29"/>
    <w:bookmarkEnd w:id="30"/>
    <w:bookmarkStart w:id="31" w:name="findings-and-recommendations"/>
    <w:p>
      <w:pPr>
        <w:pStyle w:val="Heading2"/>
      </w:pPr>
      <w:r>
        <w:t xml:space="preserve">5. Findings and Recommendations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w:t>
            </w:r>
          </w:p>
        </w:tc>
        <w:tc>
          <w:tcPr/>
          <w:p>
            <w:pPr>
              <w:pStyle w:val="Compact"/>
              <w:jc w:val="left"/>
            </w:pPr>
            <w:r>
              <w:t xml:space="preserve">Finding</w:t>
            </w:r>
          </w:p>
        </w:tc>
        <w:tc>
          <w:tcPr/>
          <w:p>
            <w:pPr>
              <w:pStyle w:val="Compact"/>
              <w:jc w:val="left"/>
            </w:pPr>
            <w:r>
              <w:t xml:space="preserve">Recommendation</w:t>
            </w:r>
          </w:p>
        </w:tc>
      </w:tr>
      <w:tr>
        <w:tc>
          <w:tcPr/>
          <w:p>
            <w:pPr>
              <w:pStyle w:val="Compact"/>
              <w:jc w:val="left"/>
            </w:pPr>
            <w:r>
              <w:t xml:space="preserve">Documentation</w:t>
            </w:r>
          </w:p>
        </w:tc>
        <w:tc>
          <w:tcPr/>
          <w:p>
            <w:pPr>
              <w:pStyle w:val="Compact"/>
              <w:jc w:val="left"/>
            </w:pPr>
            <w:r>
              <w:t xml:space="preserve">Inconsistent detail in working papers.</w:t>
            </w:r>
          </w:p>
        </w:tc>
        <w:tc>
          <w:tcPr/>
          <w:p>
            <w:pPr>
              <w:pStyle w:val="Compact"/>
              <w:jc w:val="left"/>
            </w:pPr>
            <w:r>
              <w:t xml:space="preserve">Implement a standardized documentation template and provide additional training.</w:t>
            </w:r>
          </w:p>
        </w:tc>
      </w:tr>
      <w:tr>
        <w:tc>
          <w:tcPr/>
          <w:p>
            <w:pPr>
              <w:pStyle w:val="Compact"/>
              <w:jc w:val="left"/>
            </w:pPr>
            <w:r>
              <w:t xml:space="preserve">Risk Assessment</w:t>
            </w:r>
          </w:p>
        </w:tc>
        <w:tc>
          <w:tcPr/>
          <w:p>
            <w:pPr>
              <w:pStyle w:val="Compact"/>
              <w:jc w:val="left"/>
            </w:pPr>
            <w:r>
              <w:t xml:space="preserve">Weak linkage between risks and procedures in some files.</w:t>
            </w:r>
          </w:p>
        </w:tc>
        <w:tc>
          <w:tcPr/>
          <w:p>
            <w:pPr>
              <w:pStyle w:val="Compact"/>
              <w:jc w:val="left"/>
            </w:pPr>
            <w:r>
              <w:t xml:space="preserve">Enhance the risk assessment methodology to ensure clear documentation of responses.</w:t>
            </w:r>
          </w:p>
        </w:tc>
      </w:tr>
      <w:tr>
        <w:tc>
          <w:tcPr/>
          <w:p>
            <w:pPr>
              <w:pStyle w:val="Compact"/>
              <w:jc w:val="left"/>
            </w:pPr>
            <w:r>
              <w:t xml:space="preserve">Independence</w:t>
            </w:r>
          </w:p>
        </w:tc>
        <w:tc>
          <w:tcPr/>
          <w:p>
            <w:pPr>
              <w:pStyle w:val="Compact"/>
              <w:jc w:val="left"/>
            </w:pPr>
            <w:r>
              <w:t xml:space="preserve">Procedures adequate but could be more robust for complex structures.</w:t>
            </w:r>
          </w:p>
        </w:tc>
        <w:tc>
          <w:tcPr/>
          <w:p>
            <w:pPr>
              <w:pStyle w:val="Compact"/>
              <w:jc w:val="left"/>
            </w:pPr>
            <w:r>
              <w:t xml:space="preserve">Update conflict of interest policies to address multi-layered corporate entities.</w:t>
            </w:r>
          </w:p>
        </w:tc>
      </w:tr>
    </w:tbl>
    <w:bookmarkEnd w:id="31"/>
    <w:bookmarkStart w:id="32" w:name="conclusion"/>
    <w:p>
      <w:pPr>
        <w:pStyle w:val="Heading2"/>
      </w:pPr>
      <w:r>
        <w:t xml:space="preserve">6. Conclusion</w:t>
      </w:r>
    </w:p>
    <w:p>
      <w:pPr>
        <w:pStyle w:val="FirstParagraph"/>
      </w:pPr>
      <w:r>
        <w:t xml:space="preserve">In conclusion, this Peer Review Report finds that the Auditor, operating in Israel Tel Aviv, maintains a generally effective system of quality control. The firm demonstrates a strong commitment to professional standards and ethical conduct. However, to further enhance the quality of its audit services and ensure full compliance with the ICPAI standards, the Auditor should address the findings and recommendations outlined in this report. By doing so, the firm will strengthen its reputation and contribute to the integrity of the financial reporting landscape in Israel.</w:t>
      </w:r>
    </w:p>
    <w:bookmarkEnd w:id="32"/>
    <w:p>
      <w:pPr>
        <w:pStyle w:val="BodyText"/>
      </w:pPr>
      <w:r>
        <w:rPr>
          <w:bCs/>
          <w:b/>
        </w:rPr>
        <w:t xml:space="preserve">Prepared by:</w:t>
      </w:r>
    </w:p>
    <w:p>
      <w:pPr>
        <w:pStyle w:val="BodyText"/>
      </w:pPr>
      <w:r>
        <w:t xml:space="preserve">__________________________</w:t>
      </w:r>
    </w:p>
    <w:p>
      <w:pPr>
        <w:pStyle w:val="BodyText"/>
      </w:pPr>
      <w:r>
        <w:t xml:space="preserve">Lead Reviewer, Peer Review Committee</w:t>
      </w:r>
    </w:p>
    <w:p>
      <w:pPr>
        <w:pStyle w:val="BodyText"/>
      </w:pPr>
      <w:r>
        <w:t xml:space="preserve">Institute of Certified Public Accountants in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and Quality Assurance</dc:title>
  <dc:creator/>
  <dc:language>en</dc:language>
  <cp:keywords/>
  <dcterms:created xsi:type="dcterms:W3CDTF">2026-10-10T08:48:38Z</dcterms:created>
  <dcterms:modified xsi:type="dcterms:W3CDTF">2026-10-10T08:48:38Z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