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Auditor</w:t>
      </w:r>
      <w:r>
        <w:t xml:space="preserve"> </w:t>
      </w:r>
      <w:r>
        <w:t xml:space="preserve">Performance</w:t>
      </w:r>
      <w:r>
        <w:t xml:space="preserve"> </w:t>
      </w:r>
      <w:r>
        <w:t xml:space="preserve">Evaluation</w:t>
      </w:r>
      <w:r>
        <w:t xml:space="preserve"> </w:t>
      </w:r>
      <w:r>
        <w:t xml:space="preserve">-</w:t>
      </w:r>
      <w:r>
        <w:t xml:space="preserve"> </w:t>
      </w:r>
      <w:r>
        <w:t xml:space="preserve">Japan</w:t>
      </w:r>
      <w:r>
        <w:t xml:space="preserve"> </w:t>
      </w:r>
      <w:r>
        <w:t xml:space="preserve">Kyoto</w:t>
      </w:r>
    </w:p>
    <w:bookmarkStart w:id="20" w:name="peer-review-report"/>
    <w:p>
      <w:pPr>
        <w:pStyle w:val="Heading1"/>
      </w:pPr>
      <w:r>
        <w:t xml:space="preserve">Peer Review Report</w:t>
      </w:r>
    </w:p>
    <w:p>
      <w:pPr>
        <w:pStyle w:val="FirstParagraph"/>
      </w:pPr>
      <w:r>
        <w:t xml:space="preserve">Auditor Performance Evaluation &amp; Compliance Assessment</w:t>
      </w:r>
    </w:p>
    <w:p>
      <w:pPr>
        <w:pStyle w:val="BodyText"/>
      </w:pPr>
      <w:r>
        <w:t xml:space="preserve">Location:</w:t>
      </w:r>
      <w:r>
        <w:t xml:space="preserve"> </w:t>
      </w:r>
      <w:r>
        <w:t xml:space="preserve">Japan Kyoto</w:t>
      </w:r>
    </w:p>
    <w:p>
      <w:pPr>
        <w:pStyle w:val="BodyText"/>
      </w:pPr>
      <w:r>
        <w:t xml:space="preserve">Date:</w:t>
      </w:r>
      <w:r>
        <w:t xml:space="preserve"> </w:t>
      </w:r>
      <w:r>
        <w:t xml:space="preserve">October 24, 2023</w:t>
      </w:r>
    </w:p>
    <w:p>
      <w:pPr>
        <w:pStyle w:val="BodyText"/>
      </w:pPr>
      <w:r>
        <w:t xml:space="preserve">Report ID:</w:t>
      </w:r>
      <w:r>
        <w:t xml:space="preserve"> </w:t>
      </w:r>
      <w:r>
        <w:t xml:space="preserve">KYT-AUD-2023-089</w:t>
      </w:r>
    </w:p>
    <w:p>
      <w:pPr>
        <w:pStyle w:val="BodyText"/>
      </w:pPr>
      <w:r>
        <w:t xml:space="preserve">Status:</w:t>
      </w:r>
      <w:r>
        <w:t xml:space="preserve"> </w:t>
      </w:r>
      <w:r>
        <w:t xml:space="preserve">Finalized</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compiled to evaluate the professional competence, ethical adherence, and operational efficiency of the designated</w:t>
      </w:r>
      <w:r>
        <w:t xml:space="preserve"> </w:t>
      </w:r>
      <w:r>
        <w:rPr>
          <w:bCs/>
          <w:b/>
        </w:rPr>
        <w:t xml:space="preserve">Auditor</w:t>
      </w:r>
      <w:r>
        <w:t xml:space="preserve"> </w:t>
      </w:r>
      <w:r>
        <w:t xml:space="preserve">operating within the financial district of</w:t>
      </w:r>
      <w:r>
        <w:t xml:space="preserve"> </w:t>
      </w:r>
      <w:r>
        <w:rPr>
          <w:bCs/>
          <w:b/>
        </w:rPr>
        <w:t xml:space="preserve">Japan Kyoto</w:t>
      </w:r>
      <w:r>
        <w:t xml:space="preserve">. The review process was conducted in strict accordance with the International Standards on Quality Control (ISQC 1) and the specific regulatory requirements set forth by the Japanese Institute of Certified Public Accountants (JICPA). The primary objective of this assessment was to ensure that the</w:t>
      </w:r>
      <w:r>
        <w:t xml:space="preserve"> </w:t>
      </w:r>
      <w:r>
        <w:rPr>
          <w:bCs/>
          <w:b/>
        </w:rPr>
        <w:t xml:space="preserve">Auditor</w:t>
      </w:r>
      <w:r>
        <w:t xml:space="preserve"> </w:t>
      </w:r>
      <w:r>
        <w:t xml:space="preserve">maintains the highest standards of integrity while navigating the unique cultural and regulatory landscape of Kyoto, a city that blends traditional business practices with modern financial rigor.</w:t>
      </w:r>
    </w:p>
    <w:p>
      <w:pPr>
        <w:pStyle w:val="BodyText"/>
      </w:pPr>
      <w:r>
        <w:t xml:space="preserve">The findings indicate that the</w:t>
      </w:r>
      <w:r>
        <w:t xml:space="preserve"> </w:t>
      </w:r>
      <w:r>
        <w:rPr>
          <w:bCs/>
          <w:b/>
        </w:rPr>
        <w:t xml:space="preserve">Auditor</w:t>
      </w:r>
      <w:r>
        <w:t xml:space="preserve"> </w:t>
      </w:r>
      <w:r>
        <w:t xml:space="preserve">demonstrates a robust understanding of local compliance frameworks. However, specific areas regarding documentation granularity and cross-cultural communication strategies have been identified for improvement to further align with global best practices.</w:t>
      </w:r>
    </w:p>
    <w:bookmarkEnd w:id="21"/>
    <w:bookmarkStart w:id="22" w:name="scope-and-methodology"/>
    <w:p>
      <w:pPr>
        <w:pStyle w:val="Heading2"/>
      </w:pPr>
      <w:r>
        <w:t xml:space="preserve">2. Scope and Methodology</w:t>
      </w:r>
    </w:p>
    <w:p>
      <w:pPr>
        <w:pStyle w:val="FirstParagraph"/>
      </w:pPr>
      <w:r>
        <w:t xml:space="preserve">The scope of this</w:t>
      </w:r>
      <w:r>
        <w:t xml:space="preserve"> </w:t>
      </w:r>
      <w:r>
        <w:rPr>
          <w:bCs/>
          <w:b/>
        </w:rPr>
        <w:t xml:space="preserve">Peer Review Report</w:t>
      </w:r>
      <w:r>
        <w:t xml:space="preserve"> </w:t>
      </w:r>
      <w:r>
        <w:t xml:space="preserve">encompasses a comprehensive analysis of the</w:t>
      </w:r>
      <w:r>
        <w:t xml:space="preserve"> </w:t>
      </w:r>
      <w:r>
        <w:rPr>
          <w:bCs/>
          <w:b/>
        </w:rPr>
        <w:t xml:space="preserve">Auditor</w:t>
      </w:r>
      <w:r>
        <w:t xml:space="preserve">'s recent engagements within the Kyoto prefecture. The review team utilized a multi-faceted approach, including:</w:t>
      </w:r>
    </w:p>
    <w:p>
      <w:pPr>
        <w:numPr>
          <w:ilvl w:val="0"/>
          <w:numId w:val="1001"/>
        </w:numPr>
        <w:pStyle w:val="Compact"/>
      </w:pPr>
      <w:r>
        <w:rPr>
          <w:bCs/>
          <w:b/>
        </w:rPr>
        <w:t xml:space="preserve">File Inspection:</w:t>
      </w:r>
      <w:r>
        <w:t xml:space="preserve"> </w:t>
      </w:r>
      <w:r>
        <w:t xml:space="preserve">A random sampling of twenty (20) audit files from diverse sectors, including traditional manufacturing and emerging technology firms based in Kyoto.</w:t>
      </w:r>
    </w:p>
    <w:p>
      <w:pPr>
        <w:numPr>
          <w:ilvl w:val="0"/>
          <w:numId w:val="1001"/>
        </w:numPr>
        <w:pStyle w:val="Compact"/>
      </w:pPr>
      <w:r>
        <w:rPr>
          <w:bCs/>
          <w:b/>
        </w:rPr>
        <w:t xml:space="preserve">Regulatory Compliance Check:</w:t>
      </w:r>
      <w:r>
        <w:t xml:space="preserve"> </w:t>
      </w:r>
      <w:r>
        <w:t xml:space="preserve">Verification of adherence to the Certified Public Accountants Act of Japan and relevant tax laws specific to the Kyoto region.</w:t>
      </w:r>
    </w:p>
    <w:p>
      <w:pPr>
        <w:numPr>
          <w:ilvl w:val="0"/>
          <w:numId w:val="1001"/>
        </w:numPr>
        <w:pStyle w:val="Compact"/>
      </w:pPr>
      <w:r>
        <w:rPr>
          <w:bCs/>
          <w:b/>
        </w:rPr>
        <w:t xml:space="preserve">Stakeholder Interviews:</w:t>
      </w:r>
      <w:r>
        <w:t xml:space="preserve"> </w:t>
      </w:r>
      <w:r>
        <w:t xml:space="preserve">Confidential discussions with clients and internal staff to gauge the</w:t>
      </w:r>
      <w:r>
        <w:t xml:space="preserve"> </w:t>
      </w:r>
      <w:r>
        <w:rPr>
          <w:bCs/>
          <w:b/>
        </w:rPr>
        <w:t xml:space="preserve">Auditor</w:t>
      </w:r>
      <w:r>
        <w:t xml:space="preserve">'s professional demeanor and responsiveness.</w:t>
      </w:r>
    </w:p>
    <w:p>
      <w:pPr>
        <w:numPr>
          <w:ilvl w:val="0"/>
          <w:numId w:val="1001"/>
        </w:numPr>
        <w:pStyle w:val="Compact"/>
      </w:pPr>
      <w:r>
        <w:rPr>
          <w:bCs/>
          <w:b/>
        </w:rPr>
        <w:t xml:space="preserve">On-Site Observation:</w:t>
      </w:r>
      <w:r>
        <w:t xml:space="preserve"> </w:t>
      </w:r>
      <w:r>
        <w:t xml:space="preserve">Direct observation of audit procedures conducted at client premises in Kyoto to assess practical application of standards.</w:t>
      </w:r>
    </w:p>
    <w:p>
      <w:pPr>
        <w:pStyle w:val="FirstParagraph"/>
      </w:pPr>
      <w:r>
        <w:t xml:space="preserve">This methodology ensures that the</w:t>
      </w:r>
      <w:r>
        <w:t xml:space="preserve"> </w:t>
      </w:r>
      <w:r>
        <w:rPr>
          <w:bCs/>
          <w:b/>
        </w:rPr>
        <w:t xml:space="preserve">Peer Review Report</w:t>
      </w:r>
      <w:r>
        <w:t xml:space="preserve"> </w:t>
      </w:r>
      <w:r>
        <w:t xml:space="preserve">provides a holistic view of the</w:t>
      </w:r>
      <w:r>
        <w:t xml:space="preserve"> </w:t>
      </w:r>
      <w:r>
        <w:rPr>
          <w:bCs/>
          <w:b/>
        </w:rPr>
        <w:t xml:space="preserve">Auditor</w:t>
      </w:r>
      <w:r>
        <w:t xml:space="preserve">'s performance, balancing technical accuracy with the soft skills required in the relationship-oriented business environment of</w:t>
      </w:r>
      <w:r>
        <w:t xml:space="preserve"> </w:t>
      </w:r>
      <w:r>
        <w:rPr>
          <w:bCs/>
          <w:b/>
        </w:rPr>
        <w:t xml:space="preserve">Japan Kyoto</w:t>
      </w:r>
      <w:r>
        <w:t xml:space="preserve">.</w:t>
      </w:r>
    </w:p>
    <w:bookmarkEnd w:id="22"/>
    <w:bookmarkStart w:id="25" w:name="evaluation-of-professional-competence"/>
    <w:p>
      <w:pPr>
        <w:pStyle w:val="Heading2"/>
      </w:pPr>
      <w:r>
        <w:t xml:space="preserve">3. Evaluation of Professional Competence</w:t>
      </w:r>
    </w:p>
    <w:bookmarkStart w:id="23" w:name="technical-knowledge-and-application"/>
    <w:p>
      <w:pPr>
        <w:pStyle w:val="Heading3"/>
      </w:pPr>
      <w:r>
        <w:t xml:space="preserve">3.1 Technical Knowledge and Application</w:t>
      </w:r>
    </w:p>
    <w:p>
      <w:pPr>
        <w:pStyle w:val="FirstParagraph"/>
      </w:pPr>
      <w:r>
        <w:t xml:space="preserve">The</w:t>
      </w:r>
      <w:r>
        <w:t xml:space="preserve"> </w:t>
      </w:r>
      <w:r>
        <w:rPr>
          <w:bCs/>
          <w:b/>
        </w:rPr>
        <w:t xml:space="preserve">Auditor</w:t>
      </w:r>
      <w:r>
        <w:t xml:space="preserve"> </w:t>
      </w:r>
      <w:r>
        <w:t xml:space="preserve">has demonstrated exceptional technical proficiency in applying Japanese Generally Accepted Accounting Principles (J-GAAP) and International Financial Reporting Standards (IFRS). In the context of</w:t>
      </w:r>
      <w:r>
        <w:t xml:space="preserve"> </w:t>
      </w:r>
      <w:r>
        <w:rPr>
          <w:bCs/>
          <w:b/>
        </w:rPr>
        <w:t xml:space="preserve">Japan Kyoto</w:t>
      </w:r>
      <w:r>
        <w:t xml:space="preserve">, where many long-standing family businesses are transitioning to public listing, the</w:t>
      </w:r>
      <w:r>
        <w:t xml:space="preserve"> </w:t>
      </w:r>
      <w:r>
        <w:rPr>
          <w:bCs/>
          <w:b/>
        </w:rPr>
        <w:t xml:space="preserve">Auditor</w:t>
      </w:r>
      <w:r>
        <w:t xml:space="preserve"> </w:t>
      </w:r>
      <w:r>
        <w:t xml:space="preserve">showed adeptness in handling complex equity structures and succession planning issues. The review found that the</w:t>
      </w:r>
      <w:r>
        <w:t xml:space="preserve"> </w:t>
      </w:r>
      <w:r>
        <w:rPr>
          <w:bCs/>
          <w:b/>
        </w:rPr>
        <w:t xml:space="preserve">Auditor</w:t>
      </w:r>
      <w:r>
        <w:t xml:space="preserve"> </w:t>
      </w:r>
      <w:r>
        <w:t xml:space="preserve">consistently identified material misstatements and provided constructive recommendations for internal control improvements.</w:t>
      </w:r>
    </w:p>
    <w:bookmarkEnd w:id="23"/>
    <w:bookmarkStart w:id="24" w:name="adherence-to-standards"/>
    <w:p>
      <w:pPr>
        <w:pStyle w:val="Heading3"/>
      </w:pPr>
      <w:r>
        <w:t xml:space="preserve">3.2 Adherence to Standards</w:t>
      </w:r>
    </w:p>
    <w:p>
      <w:pPr>
        <w:pStyle w:val="FirstParagraph"/>
      </w:pPr>
      <w:r>
        <w:t xml:space="preserve">A critical component of this</w:t>
      </w:r>
      <w:r>
        <w:t xml:space="preserve"> </w:t>
      </w:r>
      <w:r>
        <w:rPr>
          <w:bCs/>
          <w:b/>
        </w:rPr>
        <w:t xml:space="preserve">Peer Review Report</w:t>
      </w:r>
      <w:r>
        <w:t xml:space="preserve"> </w:t>
      </w:r>
      <w:r>
        <w:t xml:space="preserve">is the assessment of standard adherence. The</w:t>
      </w:r>
      <w:r>
        <w:t xml:space="preserve"> </w:t>
      </w:r>
      <w:r>
        <w:rPr>
          <w:bCs/>
          <w:b/>
        </w:rPr>
        <w:t xml:space="preserve">Auditor</w:t>
      </w:r>
      <w:r>
        <w:t xml:space="preserve"> </w:t>
      </w:r>
      <w:r>
        <w:t xml:space="preserve">strictly followed the auditing standards mandated by the JICPA. There were no significant deviations found regarding risk assessment procedures or evidence gathering. The documentation provided sufficient support for the audit opinions issued, reflecting a disciplined approach to quality control.</w:t>
      </w:r>
    </w:p>
    <w:bookmarkEnd w:id="24"/>
    <w:bookmarkEnd w:id="25"/>
    <w:bookmarkStart w:id="26" w:name="ethical-considerations-and-independence"/>
    <w:p>
      <w:pPr>
        <w:pStyle w:val="Heading2"/>
      </w:pPr>
      <w:r>
        <w:t xml:space="preserve">4. Ethical Considerations and Independence</w:t>
      </w:r>
    </w:p>
    <w:p>
      <w:pPr>
        <w:pStyle w:val="FirstParagraph"/>
      </w:pPr>
      <w:r>
        <w:t xml:space="preserve">Integrity is paramount for any</w:t>
      </w:r>
      <w:r>
        <w:t xml:space="preserve"> </w:t>
      </w:r>
      <w:r>
        <w:rPr>
          <w:bCs/>
          <w:b/>
        </w:rPr>
        <w:t xml:space="preserve">Auditor</w:t>
      </w:r>
      <w:r>
        <w:t xml:space="preserve">, particularly in a close-knit business community like</w:t>
      </w:r>
      <w:r>
        <w:t xml:space="preserve"> </w:t>
      </w:r>
      <w:r>
        <w:rPr>
          <w:bCs/>
          <w:b/>
        </w:rPr>
        <w:t xml:space="preserve">Japan Kyoto</w:t>
      </w:r>
      <w:r>
        <w:t xml:space="preserve">. This</w:t>
      </w:r>
      <w:r>
        <w:t xml:space="preserve"> </w:t>
      </w:r>
      <w:r>
        <w:rPr>
          <w:bCs/>
          <w:b/>
        </w:rPr>
        <w:t xml:space="preserve">Peer Review Report</w:t>
      </w:r>
      <w:r>
        <w:t xml:space="preserve"> </w:t>
      </w:r>
      <w:r>
        <w:t xml:space="preserve">confirms that the</w:t>
      </w:r>
      <w:r>
        <w:t xml:space="preserve"> </w:t>
      </w:r>
      <w:r>
        <w:rPr>
          <w:bCs/>
          <w:b/>
        </w:rPr>
        <w:t xml:space="preserve">Auditor</w:t>
      </w:r>
      <w:r>
        <w:t xml:space="preserve"> </w:t>
      </w:r>
      <w:r>
        <w:t xml:space="preserve">maintained strict independence in both fact and appearance. The review team examined conflict of interest disclosures and found them to be comprehensive and timely. The</w:t>
      </w:r>
      <w:r>
        <w:t xml:space="preserve"> </w:t>
      </w:r>
      <w:r>
        <w:rPr>
          <w:bCs/>
          <w:b/>
        </w:rPr>
        <w:t xml:space="preserve">Auditor</w:t>
      </w:r>
      <w:r>
        <w:t xml:space="preserve"> </w:t>
      </w:r>
      <w:r>
        <w:t xml:space="preserve">successfully navigated potential ethical dilemmas arising from long-term client relationships, ensuring that professional skepticism was never compromised by personal rapport.</w:t>
      </w:r>
    </w:p>
    <w:bookmarkEnd w:id="26"/>
    <w:bookmarkStart w:id="27" w:name="cultural-competence-and-client-relations"/>
    <w:p>
      <w:pPr>
        <w:pStyle w:val="Heading2"/>
      </w:pPr>
      <w:r>
        <w:t xml:space="preserve">5. Cultural Competence and Client Relations</w:t>
      </w:r>
    </w:p>
    <w:p>
      <w:pPr>
        <w:pStyle w:val="FirstParagraph"/>
      </w:pPr>
      <w:r>
        <w:t xml:space="preserve">Operating in</w:t>
      </w:r>
      <w:r>
        <w:t xml:space="preserve"> </w:t>
      </w:r>
      <w:r>
        <w:rPr>
          <w:bCs/>
          <w:b/>
        </w:rPr>
        <w:t xml:space="preserve">Japan Kyoto</w:t>
      </w:r>
      <w:r>
        <w:t xml:space="preserve"> </w:t>
      </w:r>
      <w:r>
        <w:t xml:space="preserve">requires a nuanced understanding of local business etiquette, known as "omotenashi" (hospitality) and "wa" (harmony). This</w:t>
      </w:r>
      <w:r>
        <w:t xml:space="preserve"> </w:t>
      </w:r>
      <w:r>
        <w:rPr>
          <w:bCs/>
          <w:b/>
        </w:rPr>
        <w:t xml:space="preserve">Peer Review Report</w:t>
      </w:r>
      <w:r>
        <w:t xml:space="preserve"> </w:t>
      </w:r>
      <w:r>
        <w:t xml:space="preserve">highlights the</w:t>
      </w:r>
      <w:r>
        <w:t xml:space="preserve"> </w:t>
      </w:r>
      <w:r>
        <w:rPr>
          <w:bCs/>
          <w:b/>
        </w:rPr>
        <w:t xml:space="preserve">Auditor</w:t>
      </w:r>
      <w:r>
        <w:t xml:space="preserve">'s ability to balance professional rigor with cultural sensitivity. The</w:t>
      </w:r>
      <w:r>
        <w:t xml:space="preserve"> </w:t>
      </w:r>
      <w:r>
        <w:rPr>
          <w:bCs/>
          <w:b/>
        </w:rPr>
        <w:t xml:space="preserve">Auditor</w:t>
      </w:r>
      <w:r>
        <w:t xml:space="preserve"> </w:t>
      </w:r>
      <w:r>
        <w:t xml:space="preserve">was praised for their respectful communication style and ability to build trust with senior management teams who value discretion and long-term partnerships. However, the report notes that the</w:t>
      </w:r>
      <w:r>
        <w:t xml:space="preserve"> </w:t>
      </w:r>
      <w:r>
        <w:rPr>
          <w:bCs/>
          <w:b/>
        </w:rPr>
        <w:t xml:space="preserve">Auditor</w:t>
      </w:r>
      <w:r>
        <w:t xml:space="preserve"> </w:t>
      </w:r>
      <w:r>
        <w:t xml:space="preserve">could improve by being more assertive in communicating critical findings to clients who may prefer indirect communication styles, ensuring that material issues are not softened to the point of ambiguity.</w:t>
      </w:r>
    </w:p>
    <w:bookmarkEnd w:id="27"/>
    <w:bookmarkStart w:id="28" w:name="areas-for-improvement"/>
    <w:p>
      <w:pPr>
        <w:pStyle w:val="Heading2"/>
      </w:pPr>
      <w:r>
        <w:t xml:space="preserve">6. Areas for Improvement</w:t>
      </w:r>
    </w:p>
    <w:p>
      <w:pPr>
        <w:pStyle w:val="FirstParagraph"/>
      </w:pPr>
      <w:r>
        <w:t xml:space="preserve">While the overall performance is rated as satisfactory, this</w:t>
      </w:r>
      <w:r>
        <w:t xml:space="preserve"> </w:t>
      </w:r>
      <w:r>
        <w:rPr>
          <w:bCs/>
          <w:b/>
        </w:rPr>
        <w:t xml:space="preserve">Peer Review Report</w:t>
      </w:r>
      <w:r>
        <w:t xml:space="preserve"> </w:t>
      </w:r>
      <w:r>
        <w:t xml:space="preserve">identifies specific areas where the</w:t>
      </w:r>
      <w:r>
        <w:t xml:space="preserve"> </w:t>
      </w:r>
      <w:r>
        <w:rPr>
          <w:bCs/>
          <w:b/>
        </w:rPr>
        <w:t xml:space="preserve">Auditor</w:t>
      </w:r>
      <w:r>
        <w:t xml:space="preserve"> </w:t>
      </w:r>
      <w:r>
        <w:t xml:space="preserve">can enhance their practice:</w:t>
      </w:r>
    </w:p>
    <w:p>
      <w:pPr>
        <w:numPr>
          <w:ilvl w:val="0"/>
          <w:numId w:val="1002"/>
        </w:numPr>
        <w:pStyle w:val="Compact"/>
      </w:pPr>
      <w:r>
        <w:rPr>
          <w:bCs/>
          <w:b/>
        </w:rPr>
        <w:t xml:space="preserve">Digital Transformation:</w:t>
      </w:r>
      <w:r>
        <w:t xml:space="preserve"> </w:t>
      </w:r>
      <w:r>
        <w:t xml:space="preserve">The</w:t>
      </w:r>
      <w:r>
        <w:t xml:space="preserve"> </w:t>
      </w:r>
      <w:r>
        <w:rPr>
          <w:bCs/>
          <w:b/>
        </w:rPr>
        <w:t xml:space="preserve">Auditor</w:t>
      </w:r>
      <w:r>
        <w:t xml:space="preserve"> </w:t>
      </w:r>
      <w:r>
        <w:t xml:space="preserve">should accelerate the adoption of data analytics tools to improve efficiency, aligning with the broader digitalization trends in Kyoto's financial sector.</w:t>
      </w:r>
    </w:p>
    <w:p>
      <w:pPr>
        <w:numPr>
          <w:ilvl w:val="0"/>
          <w:numId w:val="1002"/>
        </w:numPr>
        <w:pStyle w:val="Compact"/>
      </w:pPr>
      <w:r>
        <w:rPr>
          <w:bCs/>
          <w:b/>
        </w:rPr>
        <w:t xml:space="preserve">Documentation Detail:</w:t>
      </w:r>
      <w:r>
        <w:t xml:space="preserve"> </w:t>
      </w:r>
      <w:r>
        <w:t xml:space="preserve">While adequate, the working papers could benefit from more detailed cross-referencing to facilitate smoother external reviews.</w:t>
      </w:r>
    </w:p>
    <w:p>
      <w:pPr>
        <w:numPr>
          <w:ilvl w:val="0"/>
          <w:numId w:val="1002"/>
        </w:numPr>
        <w:pStyle w:val="Compact"/>
      </w:pPr>
      <w:r>
        <w:rPr>
          <w:bCs/>
          <w:b/>
        </w:rPr>
        <w:t xml:space="preserve">Language Precision:</w:t>
      </w:r>
      <w:r>
        <w:t xml:space="preserve"> </w:t>
      </w:r>
      <w:r>
        <w:t xml:space="preserve">In bilingual reports, ensuring absolute consistency in terminology between Japanese and English versions is crucial for international stakeholders.</w:t>
      </w:r>
    </w:p>
    <w:bookmarkEnd w:id="28"/>
    <w:bookmarkStart w:id="29" w:name="conclusion-and-recommendations"/>
    <w:p>
      <w:pPr>
        <w:pStyle w:val="Heading2"/>
      </w:pPr>
      <w:r>
        <w:t xml:space="preserve">7. Conclusion and Recommendations</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Auditor</w:t>
      </w:r>
      <w:r>
        <w:t xml:space="preserve"> </w:t>
      </w:r>
      <w:r>
        <w:t xml:space="preserve">is a competent, ethical, and reliable professional serving the financial ecosystem of</w:t>
      </w:r>
      <w:r>
        <w:t xml:space="preserve"> </w:t>
      </w:r>
      <w:r>
        <w:rPr>
          <w:bCs/>
          <w:b/>
        </w:rPr>
        <w:t xml:space="preserve">Japan Kyoto</w:t>
      </w:r>
      <w:r>
        <w:t xml:space="preserve">. The</w:t>
      </w:r>
      <w:r>
        <w:t xml:space="preserve"> </w:t>
      </w:r>
      <w:r>
        <w:rPr>
          <w:bCs/>
          <w:b/>
        </w:rPr>
        <w:t xml:space="preserve">Auditor</w:t>
      </w:r>
      <w:r>
        <w:t xml:space="preserve"> </w:t>
      </w:r>
      <w:r>
        <w:t xml:space="preserve">meets all necessary regulatory requirements and demonstrates a strong commitment to quality. It is recommended that the</w:t>
      </w:r>
      <w:r>
        <w:t xml:space="preserve"> </w:t>
      </w:r>
      <w:r>
        <w:rPr>
          <w:bCs/>
          <w:b/>
        </w:rPr>
        <w:t xml:space="preserve">Auditor</w:t>
      </w:r>
      <w:r>
        <w:t xml:space="preserve"> </w:t>
      </w:r>
      <w:r>
        <w:t xml:space="preserve">implements the suggested improvements regarding digital tools and documentation precision within the next twelve months. A follow-up review is scheduled to monitor progress in these areas.</w:t>
      </w:r>
    </w:p>
    <w:bookmarkEnd w:id="29"/>
    <w:p>
      <w:pPr>
        <w:pStyle w:val="BodyText"/>
      </w:pPr>
      <w:r>
        <w:rPr>
          <w:bCs/>
          <w:b/>
        </w:rPr>
        <w:t xml:space="preserve">Reviewed By:</w:t>
      </w:r>
    </w:p>
    <w:p>
      <w:pPr>
        <w:pStyle w:val="BodyText"/>
      </w:pPr>
      <w:r>
        <w:t xml:space="preserve">Takeshi Yamamoto, CPA</w:t>
      </w:r>
    </w:p>
    <w:p>
      <w:pPr>
        <w:pStyle w:val="BodyText"/>
      </w:pPr>
      <w:r>
        <w:t xml:space="preserve">Senior Peer Reviewer</w:t>
      </w:r>
    </w:p>
    <w:p>
      <w:pPr>
        <w:pStyle w:val="BodyText"/>
      </w:pPr>
      <w:r>
        <w:rPr>
          <w:bCs/>
          <w:b/>
        </w:rPr>
        <w:t xml:space="preserve">Auditor Acknowledgement:</w:t>
      </w:r>
    </w:p>
    <w:p>
      <w:pPr>
        <w:pStyle w:val="BodyText"/>
      </w:pPr>
      <w:r>
        <w:t xml:space="preserve">Kenji Sato, CPA</w:t>
      </w:r>
    </w:p>
    <w:p>
      <w:pPr>
        <w:pStyle w:val="BodyText"/>
      </w:pPr>
      <w:r>
        <w:t xml:space="preserve">Lead Auditor</w:t>
      </w:r>
    </w:p>
    <w:p>
      <w:pPr>
        <w:pStyle w:val="BodyText"/>
      </w:pPr>
      <w:r>
        <w:t xml:space="preserve">Confidential Document - For Internal Use Only. Generated for Peer Review purposes in Japan Kyoto.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Auditor Performance Evaluation - Japan Kyoto</dc:title>
  <dc:creator/>
  <dc:language>en</dc:language>
  <cp:keywords/>
  <dcterms:created xsi:type="dcterms:W3CDTF">2026-10-10T08:50:58Z</dcterms:created>
  <dcterms:modified xsi:type="dcterms:W3CDTF">2026-10-10T08:50:58Z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