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Auditor</w:t>
      </w:r>
      <w:r>
        <w:t xml:space="preserve"> </w:t>
      </w:r>
      <w:r>
        <w:t xml:space="preserve">-</w:t>
      </w:r>
      <w:r>
        <w:t xml:space="preserve"> </w:t>
      </w:r>
      <w:r>
        <w:t xml:space="preserve">Kuwait</w:t>
      </w:r>
      <w:r>
        <w:t xml:space="preserve"> </w:t>
      </w:r>
      <w:r>
        <w:t xml:space="preserve">City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Audit Quality and Professional Competence</w:t>
      </w:r>
    </w:p>
    <w:p>
      <w:pPr>
        <w:pStyle w:val="BodyText"/>
      </w:pPr>
      <w:r>
        <w:rPr>
          <w:bCs/>
          <w:b/>
        </w:rPr>
        <w:t xml:space="preserve">Location:</w:t>
      </w:r>
      <w:r>
        <w:t xml:space="preserve"> </w:t>
      </w:r>
      <w:r>
        <w:t xml:space="preserve">Kuwait, Kuwait City</w:t>
      </w:r>
    </w:p>
    <w:p>
      <w:pPr>
        <w:pStyle w:val="BodyText"/>
      </w:pPr>
      <w:r>
        <w:rPr>
          <w:bCs/>
          <w:b/>
        </w:rPr>
        <w:t xml:space="preserve">Date of Report:</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performance, technical competence, and adherence to international auditing standards of the designated Auditor operating within Kuwait, Kuwait City. The primary objective of this review is to ensure that the audit practices conducted by the firm align with the rigorous expectations set forth by the Kuwaiti Institute of Certified Public Accountants (KICPA) and the International Standards on Auditing (ISA).</w:t>
      </w:r>
    </w:p>
    <w:p>
      <w:pPr>
        <w:pStyle w:val="BodyText"/>
      </w:pPr>
      <w:r>
        <w:t xml:space="preserve">Given the dynamic economic landscape of Kuwait City, characterized by significant public sector initiatives and a growing private enterprise sector, the role of the Auditor is critical in maintaining financial integrity and investor confidence. This report assesses the Auditor's ability to navigate the specific regulatory environment of Kuwait while maintaining global best practices.</w:t>
      </w:r>
    </w:p>
    <w:bookmarkEnd w:id="21"/>
    <w:bookmarkStart w:id="22" w:name="regulatory-framework-and-compliance"/>
    <w:p>
      <w:pPr>
        <w:pStyle w:val="Heading2"/>
      </w:pPr>
      <w:r>
        <w:t xml:space="preserve">2. Regulatory Framework and Compliance</w:t>
      </w:r>
    </w:p>
    <w:p>
      <w:pPr>
        <w:pStyle w:val="FirstParagraph"/>
      </w:pPr>
      <w:r>
        <w:t xml:space="preserve">The review examined the Auditor's compliance with the local legal framework governing financial reporting in Kuwait. It is imperative that any Auditor practicing in Kuwait City demonstrates a thorough understanding of the Commercial Companies Law and the specific financial reporting requirements mandated by the Central Bank of Kuwait for financial institutions.</w:t>
      </w:r>
    </w:p>
    <w:p>
      <w:pPr>
        <w:pStyle w:val="BodyText"/>
      </w:pPr>
      <w:r>
        <w:t xml:space="preserve">The Peer Review team found that the Auditor maintains a robust compliance framework. The firm has successfully integrated the latest amendments to the Kuwaiti tax laws and corporate governance codes into their audit methodologies. This adaptability is crucial in Kuwait City, where regulatory updates are frequent and impactful. The Auditor's commitment to ethical standards, as outlined in the Code of Ethics for Professional Accountants, was also verified, ensuring that independence and objectivity are preserved in all engagements.</w:t>
      </w:r>
    </w:p>
    <w:bookmarkEnd w:id="22"/>
    <w:bookmarkStart w:id="23" w:name="X6416180dd829192fa7936b8809f7bc97a83a8b2"/>
    <w:p>
      <w:pPr>
        <w:pStyle w:val="Heading2"/>
      </w:pPr>
      <w:r>
        <w:t xml:space="preserve">3. Technical Competence and Audit Methodology</w:t>
      </w:r>
    </w:p>
    <w:p>
      <w:pPr>
        <w:pStyle w:val="FirstParagraph"/>
      </w:pPr>
      <w:r>
        <w:t xml:space="preserve">A core component of this Peer Review Report is the assessment of the technical skills exhibited by the Auditor. The review team analyzed a sample of audit files from diverse sectors, including oil and gas services, construction, and retail, which are prominent industries in Kuwait City.</w:t>
      </w:r>
    </w:p>
    <w:p>
      <w:pPr>
        <w:pStyle w:val="BodyText"/>
      </w:pPr>
      <w:r>
        <w:t xml:space="preserve">The Auditor demonstrated a high level of proficiency in applying International Standards on Auditing (ISA). Specifically, the evaluation of internal controls, risk assessment procedures, and substantive testing was conducted with precision. The Auditor showed particular strength in identifying key audit matters related to revenue recognition and asset valuation, which are complex areas often encountered in the Kuwaiti market.</w:t>
      </w:r>
    </w:p>
    <w:p>
      <w:pPr>
        <w:pStyle w:val="BodyText"/>
      </w:pPr>
      <w:r>
        <w:t xml:space="preserve">Furthermore, the use of data analytics and modern audit software was noted as a positive development. In the context of Kuwait City's push towards digital transformation, the Auditor's willingness to adopt technology enhances the efficiency and accuracy of their audit processes. This technological integration allows for more comprehensive testing of financial data, thereby reducing audit risk.</w:t>
      </w:r>
    </w:p>
    <w:bookmarkEnd w:id="23"/>
    <w:bookmarkStart w:id="24" w:name="quality-control-and-staff-competency"/>
    <w:p>
      <w:pPr>
        <w:pStyle w:val="Heading2"/>
      </w:pPr>
      <w:r>
        <w:t xml:space="preserve">4. Quality Control and Staff Competency</w:t>
      </w:r>
    </w:p>
    <w:p>
      <w:pPr>
        <w:pStyle w:val="FirstParagraph"/>
      </w:pPr>
      <w:r>
        <w:t xml:space="preserve">The effectiveness of an Auditor is heavily dependent on the quality of their team and the internal quality control systems in place. This Peer Review Report evaluated the firm's policies regarding staff training, supervision, and review.</w:t>
      </w:r>
    </w:p>
    <w:p>
      <w:pPr>
        <w:pStyle w:val="BodyText"/>
      </w:pPr>
      <w:r>
        <w:t xml:space="preserve">It was observed that the Auditor invests significantly in the continuous professional development of their staff. Regular training sessions on new accounting standards and local Kuwaiti regulations ensure that the team remains up-to-date. The review also highlighted a strong culture of supervision, where senior auditors provide detailed guidance and review the work of junior staff. This hierarchical review process is essential for maintaining high-quality audit outputs in a competitive market like Kuwait City.</w:t>
      </w:r>
    </w:p>
    <w:bookmarkEnd w:id="24"/>
    <w:bookmarkStart w:id="25" w:name="communication-and-reporting"/>
    <w:p>
      <w:pPr>
        <w:pStyle w:val="Heading2"/>
      </w:pPr>
      <w:r>
        <w:t xml:space="preserve">5. Communication and Reporting</w:t>
      </w:r>
    </w:p>
    <w:p>
      <w:pPr>
        <w:pStyle w:val="FirstParagraph"/>
      </w:pPr>
      <w:r>
        <w:t xml:space="preserve">Clear and effective communication is a vital skill for an Auditor. This report assessed the clarity, completeness, and timeliness of the audit reports issued by the firm. The Auditor was found to produce reports that are not only compliant with regulatory requirements but also provide valuable insights to management and stakeholders.</w:t>
      </w:r>
    </w:p>
    <w:p>
      <w:pPr>
        <w:pStyle w:val="BodyText"/>
      </w:pPr>
      <w:r>
        <w:t xml:space="preserve">The Auditor's ability to communicate complex financial issues in a manner that is understandable to non-financial stakeholders in Kuwait City was commended. Additionally, the firm maintains open lines of communication with audit committees, ensuring that significant findings are discussed promptly and constructively.</w:t>
      </w:r>
    </w:p>
    <w:bookmarkEnd w:id="25"/>
    <w:bookmarkStart w:id="26" w:name="areas-for-improvement"/>
    <w:p>
      <w:pPr>
        <w:pStyle w:val="Heading2"/>
      </w:pPr>
      <w:r>
        <w:t xml:space="preserve">6. Areas for Improvement</w:t>
      </w:r>
    </w:p>
    <w:p>
      <w:pPr>
        <w:pStyle w:val="FirstParagraph"/>
      </w:pPr>
      <w:r>
        <w:t xml:space="preserve">While the overall performance of the Auditor is commendable, this Peer Review Report identifies a few areas for potential enhancement. First, there is an opportunity to further standardize documentation practices across all audit teams to ensure consistency. Second, given the increasing focus on sustainability reporting in the Gulf region, the Auditor should consider developing specialized expertise in auditing environmental, social, and governance (ESG) metrics. This would position the firm as a leader in the Kuwait City market.</w:t>
      </w:r>
    </w:p>
    <w:bookmarkEnd w:id="26"/>
    <w:bookmarkStart w:id="27" w:name="conclusion"/>
    <w:p>
      <w:pPr>
        <w:pStyle w:val="Heading2"/>
      </w:pPr>
      <w:r>
        <w:t xml:space="preserve">7. Conclusion</w:t>
      </w:r>
    </w:p>
    <w:p>
      <w:pPr>
        <w:pStyle w:val="FirstParagraph"/>
      </w:pPr>
      <w:r>
        <w:t xml:space="preserve">In conclusion, this Peer Review Report confirms that the Auditor operating in Kuwait, Kuwait City, maintains a high standard of professional practice. The firm demonstrates strong technical competence, adherence to regulatory requirements, and a commitment to quality control. The Auditor plays a vital role in upholding the integrity of financial reporting in the region. With the recommended improvements implemented, the firm is well-positioned to continue providing exceptional audit services to its clients in Kuwait City and beyond.</w:t>
      </w:r>
    </w:p>
    <w:bookmarkEnd w:id="27"/>
    <w:p>
      <w:pPr>
        <w:pStyle w:val="BodyText"/>
      </w:pPr>
      <w:r>
        <w:rPr>
          <w:bCs/>
          <w:b/>
        </w:rPr>
        <w:t xml:space="preserve">Prepared by:</w:t>
      </w:r>
    </w:p>
    <w:p>
      <w:pPr>
        <w:pStyle w:val="BodyText"/>
      </w:pPr>
      <w:r>
        <w:t xml:space="preserve">Peer Review Committee</w:t>
      </w:r>
    </w:p>
    <w:p>
      <w:pPr>
        <w:pStyle w:val="BodyText"/>
      </w:pPr>
      <w:r>
        <w:t xml:space="preserve">Kuwait Institute of Certified Public Accountants (KICPA)</w:t>
      </w:r>
    </w:p>
    <w:p>
      <w:pPr>
        <w:pStyle w:val="BodyText"/>
      </w:pPr>
      <w:r>
        <w:t xml:space="preserve">Kuwait City, Kuwait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Auditor - Kuwait City</dc:title>
  <dc:creator/>
  <dc:language>en</dc:language>
  <cp:keywords/>
  <dcterms:created xsi:type="dcterms:W3CDTF">2026-10-10T08:48:54Z</dcterms:created>
  <dcterms:modified xsi:type="dcterms:W3CDTF">2026-10-10T08:48:54Z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