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Quality</w:t>
      </w:r>
      <w:r>
        <w:t xml:space="preserve"> </w:t>
      </w:r>
      <w:r>
        <w:t xml:space="preserve">Assurance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Quality Control System and Audit Methodology Assessment</w:t>
      </w:r>
    </w:p>
    <w:p>
      <w:pPr>
        <w:pStyle w:val="BodyText"/>
      </w:pPr>
      <w:r>
        <w:rPr>
          <w:bCs/>
          <w:b/>
        </w:rPr>
        <w:t xml:space="preserve">Jurisdiction:</w:t>
      </w:r>
      <w:r>
        <w:t xml:space="preserve"> </w:t>
      </w:r>
      <w:r>
        <w:t xml:space="preserve">Malaysia Kuala Lumpur</w:t>
      </w:r>
    </w:p>
    <w:bookmarkEnd w:id="20"/>
    <w:p>
      <w:pPr>
        <w:pStyle w:val="BodyText"/>
      </w:pPr>
      <w:r>
        <w:rPr>
          <w:bCs/>
          <w:b/>
        </w:rPr>
        <w:t xml:space="preserve">Report Reference:</w:t>
      </w:r>
      <w:r>
        <w:t xml:space="preserve"> </w:t>
      </w:r>
      <w:r>
        <w:t xml:space="preserve">KL-PR-2023-089</w:t>
      </w:r>
    </w:p>
    <w:p>
      <w:pPr>
        <w:pStyle w:val="BodyText"/>
      </w:pPr>
      <w:r>
        <w:rPr>
          <w:bCs/>
          <w:b/>
        </w:rPr>
        <w:t xml:space="preserve">Date of Issue:</w:t>
      </w:r>
      <w:r>
        <w:t xml:space="preserve"> </w:t>
      </w:r>
      <w:r>
        <w:t xml:space="preserve">24 October 2023</w:t>
      </w:r>
    </w:p>
    <w:p>
      <w:pPr>
        <w:pStyle w:val="BodyText"/>
      </w:pPr>
      <w:r>
        <w:rPr>
          <w:bCs/>
          <w:b/>
        </w:rPr>
        <w:t xml:space="preserve">Reviewed Firm:</w:t>
      </w:r>
      <w:r>
        <w:t xml:space="preserve"> </w:t>
      </w:r>
      <w:r>
        <w:t xml:space="preserve">Apex Audit &amp; Associates Sdn Bhd</w:t>
      </w:r>
    </w:p>
    <w:p>
      <w:pPr>
        <w:pStyle w:val="BodyText"/>
      </w:pPr>
      <w:r>
        <w:rPr>
          <w:bCs/>
          <w:b/>
        </w:rPr>
        <w:t xml:space="preserve">Location:</w:t>
      </w:r>
      <w:r>
        <w:t xml:space="preserve"> </w:t>
      </w:r>
      <w:r>
        <w:t xml:space="preserve">Kuala Lumpur, Malaysia</w:t>
      </w:r>
    </w:p>
    <w:p>
      <w:pPr>
        <w:pStyle w:val="BodyText"/>
      </w:pPr>
      <w:r>
        <w:rPr>
          <w:bCs/>
          <w:b/>
        </w:rPr>
        <w:t xml:space="preserve">Review Period:</w:t>
      </w:r>
      <w:r>
        <w:t xml:space="preserve"> </w:t>
      </w:r>
      <w:r>
        <w:t xml:space="preserve">1 January 2023 – 30 June 2023</w:t>
      </w:r>
    </w:p>
    <w:p>
      <w:pPr>
        <w:pStyle w:val="BodyText"/>
      </w:pPr>
      <w:r>
        <w:rPr>
          <w:bCs/>
          <w:b/>
        </w:rPr>
        <w:t xml:space="preserve">Lead Reviewer:</w:t>
      </w:r>
      <w:r>
        <w:t xml:space="preserve"> </w:t>
      </w:r>
      <w:r>
        <w:t xml:space="preserve">Senior Partner, Independent Review Board</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prepared to evaluate the quality control systems and audit methodologies employed by the subject</w:t>
      </w:r>
      <w:r>
        <w:t xml:space="preserve"> </w:t>
      </w:r>
      <w:r>
        <w:rPr>
          <w:bCs/>
          <w:b/>
        </w:rPr>
        <w:t xml:space="preserve">Auditor</w:t>
      </w:r>
      <w:r>
        <w:t xml:space="preserve"> </w:t>
      </w:r>
      <w:r>
        <w:t xml:space="preserve">firm operating within the financial hub of</w:t>
      </w:r>
      <w:r>
        <w:t xml:space="preserve"> </w:t>
      </w:r>
      <w:r>
        <w:rPr>
          <w:bCs/>
          <w:b/>
        </w:rPr>
        <w:t xml:space="preserve">Malaysia Kuala Lumpur</w:t>
      </w:r>
      <w:r>
        <w:t xml:space="preserve">. The primary objective of this review is to ensure that the firm maintains compliance with the Malaysian Auditing Standards (MAS), the International Standards on Auditing (ISA), and the Code of Ethics for Professional Accountants as promulgated by the Malaysian Institute of Accountants (MIA).</w:t>
      </w:r>
    </w:p>
    <w:p>
      <w:pPr>
        <w:pStyle w:val="BodyText"/>
      </w:pPr>
      <w:r>
        <w:t xml:space="preserve">Given the dynamic economic landscape of</w:t>
      </w:r>
      <w:r>
        <w:t xml:space="preserve"> </w:t>
      </w:r>
      <w:r>
        <w:rPr>
          <w:bCs/>
          <w:b/>
        </w:rPr>
        <w:t xml:space="preserve">Malaysia Kuala Lumpur</w:t>
      </w:r>
      <w:r>
        <w:t xml:space="preserve">, where multinational corporations and local enterprises converge, the integrity of the</w:t>
      </w:r>
      <w:r>
        <w:t xml:space="preserve"> </w:t>
      </w:r>
      <w:r>
        <w:rPr>
          <w:bCs/>
          <w:b/>
        </w:rPr>
        <w:t xml:space="preserve">Auditor</w:t>
      </w:r>
      <w:r>
        <w:t xml:space="preserve"> </w:t>
      </w:r>
      <w:r>
        <w:t xml:space="preserve">is paramount. This report assesses whether the firm’s internal controls, risk assessment procedures, and reporting mechanisms are robust enough to withstand the complexities of the local regulatory environment. The scope of this</w:t>
      </w:r>
      <w:r>
        <w:t xml:space="preserve"> </w:t>
      </w:r>
      <w:r>
        <w:rPr>
          <w:bCs/>
          <w:b/>
        </w:rPr>
        <w:t xml:space="preserve">Peer Review Report</w:t>
      </w:r>
      <w:r>
        <w:t xml:space="preserve"> </w:t>
      </w:r>
      <w:r>
        <w:t xml:space="preserve">encompasses a detailed examination of the firm’s engagement documentation, independence policies, and professional development frameworks.</w:t>
      </w:r>
    </w:p>
    <w:bookmarkEnd w:id="21"/>
    <w:bookmarkStart w:id="22" w:name="regulatory-framework-and-compliance"/>
    <w:p>
      <w:pPr>
        <w:pStyle w:val="Heading2"/>
      </w:pPr>
      <w:r>
        <w:t xml:space="preserve">2. Regulatory Framework and Compliance</w:t>
      </w:r>
    </w:p>
    <w:p>
      <w:pPr>
        <w:pStyle w:val="FirstParagraph"/>
      </w:pPr>
      <w:r>
        <w:t xml:space="preserve">The review was conducted with strict adherence to the requirements set forth by the Securities Commission Malaysia and the MIA. In</w:t>
      </w:r>
      <w:r>
        <w:t xml:space="preserve"> </w:t>
      </w:r>
      <w:r>
        <w:rPr>
          <w:bCs/>
          <w:b/>
        </w:rPr>
        <w:t xml:space="preserve">Malaysia Kuala Lumpur</w:t>
      </w:r>
      <w:r>
        <w:t xml:space="preserve">, the regulatory scrutiny on public interest entities is intense. Consequently, this</w:t>
      </w:r>
      <w:r>
        <w:t xml:space="preserve"> </w:t>
      </w:r>
      <w:r>
        <w:rPr>
          <w:bCs/>
          <w:b/>
        </w:rPr>
        <w:t xml:space="preserve">Peer Review Report</w:t>
      </w:r>
      <w:r>
        <w:t xml:space="preserve"> </w:t>
      </w:r>
      <w:r>
        <w:t xml:space="preserve">places significant emphasis on the</w:t>
      </w:r>
      <w:r>
        <w:t xml:space="preserve"> </w:t>
      </w:r>
      <w:r>
        <w:rPr>
          <w:bCs/>
          <w:b/>
        </w:rPr>
        <w:t xml:space="preserve">Auditor</w:t>
      </w:r>
      <w:r>
        <w:t xml:space="preserve">'s adherence to the Companies Act 2016.</w:t>
      </w:r>
    </w:p>
    <w:p>
      <w:pPr>
        <w:pStyle w:val="BodyText"/>
      </w:pPr>
      <w:r>
        <w:t xml:space="preserve">The review team examined the firm’s compliance with the mandatory peer review program. It was observed that the</w:t>
      </w:r>
      <w:r>
        <w:t xml:space="preserve"> </w:t>
      </w:r>
      <w:r>
        <w:rPr>
          <w:bCs/>
          <w:b/>
        </w:rPr>
        <w:t xml:space="preserve">Auditor</w:t>
      </w:r>
      <w:r>
        <w:t xml:space="preserve"> </w:t>
      </w:r>
      <w:r>
        <w:t xml:space="preserve">has established a compliance committee dedicated to monitoring changes in Malaysian financial reporting standards. However, the</w:t>
      </w:r>
      <w:r>
        <w:t xml:space="preserve"> </w:t>
      </w:r>
      <w:r>
        <w:rPr>
          <w:bCs/>
          <w:b/>
        </w:rPr>
        <w:t xml:space="preserve">Peer Review Report</w:t>
      </w:r>
      <w:r>
        <w:t xml:space="preserve"> </w:t>
      </w:r>
      <w:r>
        <w:t xml:space="preserve">notes that while the firm is generally compliant, there is a need for more rigorous documentation regarding the application of specific MAS standards related to related-party transactions, which are prevalent in the conglomerate structures often found in</w:t>
      </w:r>
      <w:r>
        <w:t xml:space="preserve"> </w:t>
      </w:r>
      <w:r>
        <w:rPr>
          <w:bCs/>
          <w:b/>
        </w:rPr>
        <w:t xml:space="preserve">Malaysia Kuala Lumpur</w:t>
      </w:r>
      <w:r>
        <w:t xml:space="preserve">.</w:t>
      </w:r>
    </w:p>
    <w:bookmarkEnd w:id="22"/>
    <w:bookmarkStart w:id="23" w:name="assessment-of-quality-control-systems"/>
    <w:p>
      <w:pPr>
        <w:pStyle w:val="Heading2"/>
      </w:pPr>
      <w:r>
        <w:t xml:space="preserve">3. Assessment of Quality Control Systems</w:t>
      </w:r>
    </w:p>
    <w:p>
      <w:pPr>
        <w:pStyle w:val="FirstParagraph"/>
      </w:pPr>
      <w:r>
        <w:t xml:space="preserve">A critical component of this</w:t>
      </w:r>
      <w:r>
        <w:t xml:space="preserve"> </w:t>
      </w:r>
      <w:r>
        <w:rPr>
          <w:bCs/>
          <w:b/>
        </w:rPr>
        <w:t xml:space="preserve">Peer Review Report</w:t>
      </w:r>
      <w:r>
        <w:t xml:space="preserve"> </w:t>
      </w:r>
      <w:r>
        <w:t xml:space="preserve">is the evaluation of the firm’s quality control system. The</w:t>
      </w:r>
      <w:r>
        <w:t xml:space="preserve"> </w:t>
      </w:r>
      <w:r>
        <w:rPr>
          <w:bCs/>
          <w:b/>
        </w:rPr>
        <w:t xml:space="preserve">Auditor</w:t>
      </w:r>
      <w:r>
        <w:t xml:space="preserve"> </w:t>
      </w:r>
      <w:r>
        <w:t xml:space="preserve">is required to maintain a system that provides reasonable assurance that the firm and its personnel comply with professional standards and regulatory requirements.</w:t>
      </w:r>
    </w:p>
    <w:p>
      <w:pPr>
        <w:pStyle w:val="BodyText"/>
      </w:pPr>
      <w:r>
        <w:rPr>
          <w:bCs/>
          <w:b/>
        </w:rPr>
        <w:t xml:space="preserve">Leadership Responsibilities:</w:t>
      </w:r>
      <w:r>
        <w:t xml:space="preserve"> </w:t>
      </w:r>
      <w:r>
        <w:t xml:space="preserve">The review found that the leadership of the</w:t>
      </w:r>
      <w:r>
        <w:t xml:space="preserve"> </w:t>
      </w:r>
      <w:r>
        <w:rPr>
          <w:bCs/>
          <w:b/>
        </w:rPr>
        <w:t xml:space="preserve">Auditor</w:t>
      </w:r>
      <w:r>
        <w:t xml:space="preserve"> </w:t>
      </w:r>
      <w:r>
        <w:t xml:space="preserve">firm demonstrates a strong commitment to quality. The tone at the top is positive, emphasizing ethical behavior over commercial gain. This is particularly vital in the competitive market of</w:t>
      </w:r>
      <w:r>
        <w:t xml:space="preserve"> </w:t>
      </w:r>
      <w:r>
        <w:rPr>
          <w:bCs/>
          <w:b/>
        </w:rPr>
        <w:t xml:space="preserve">Malaysia Kuala Lumpur</w:t>
      </w:r>
      <w:r>
        <w:t xml:space="preserve">, where pressure to retain clients can sometimes compromise audit rigor.</w:t>
      </w:r>
    </w:p>
    <w:p>
      <w:pPr>
        <w:pStyle w:val="BodyText"/>
      </w:pPr>
      <w:r>
        <w:rPr>
          <w:bCs/>
          <w:b/>
        </w:rPr>
        <w:t xml:space="preserve">Relevant Ethical Requirements:</w:t>
      </w:r>
      <w:r>
        <w:t xml:space="preserve"> </w:t>
      </w:r>
      <w:r>
        <w:t xml:space="preserve">The</w:t>
      </w:r>
      <w:r>
        <w:t xml:space="preserve"> </w:t>
      </w:r>
      <w:r>
        <w:rPr>
          <w:bCs/>
          <w:b/>
        </w:rPr>
        <w:t xml:space="preserve">Peer Review Report</w:t>
      </w:r>
      <w:r>
        <w:t xml:space="preserve"> </w:t>
      </w:r>
      <w:r>
        <w:t xml:space="preserve">confirms that the firm has implemented effective policies regarding independence. The</w:t>
      </w:r>
      <w:r>
        <w:t xml:space="preserve"> </w:t>
      </w:r>
      <w:r>
        <w:rPr>
          <w:bCs/>
          <w:b/>
        </w:rPr>
        <w:t xml:space="preserve">Auditor</w:t>
      </w:r>
      <w:r>
        <w:t xml:space="preserve"> </w:t>
      </w:r>
      <w:r>
        <w:t xml:space="preserve">maintains a comprehensive database of client relationships to identify potential conflicts of interest. However, the report recommends enhancing the training modules for junior staff to ensure they are fully aware of the nuances of independence in the context of Malaysian corporate culture.</w:t>
      </w:r>
    </w:p>
    <w:p>
      <w:pPr>
        <w:pStyle w:val="BodyText"/>
      </w:pPr>
      <w:r>
        <w:rPr>
          <w:bCs/>
          <w:b/>
        </w:rPr>
        <w:t xml:space="preserve">Acceptance and Continuance of Client Relationships:</w:t>
      </w:r>
      <w:r>
        <w:t xml:space="preserve"> </w:t>
      </w:r>
      <w:r>
        <w:t xml:space="preserve">The procedures for accepting new clients in</w:t>
      </w:r>
      <w:r>
        <w:t xml:space="preserve"> </w:t>
      </w:r>
      <w:r>
        <w:rPr>
          <w:bCs/>
          <w:b/>
        </w:rPr>
        <w:t xml:space="preserve">Malaysia Kuala Lumpur</w:t>
      </w:r>
      <w:r>
        <w:t xml:space="preserve"> </w:t>
      </w:r>
      <w:r>
        <w:t xml:space="preserve">were reviewed. The</w:t>
      </w:r>
      <w:r>
        <w:t xml:space="preserve"> </w:t>
      </w:r>
      <w:r>
        <w:rPr>
          <w:bCs/>
          <w:b/>
        </w:rPr>
        <w:t xml:space="preserve">Auditor</w:t>
      </w:r>
      <w:r>
        <w:t xml:space="preserve"> </w:t>
      </w:r>
      <w:r>
        <w:t xml:space="preserve">employs a risk-based approach to client acceptance. The</w:t>
      </w:r>
      <w:r>
        <w:t xml:space="preserve"> </w:t>
      </w:r>
      <w:r>
        <w:rPr>
          <w:bCs/>
          <w:b/>
        </w:rPr>
        <w:t xml:space="preserve">Peer Review Report</w:t>
      </w:r>
      <w:r>
        <w:t xml:space="preserve"> </w:t>
      </w:r>
      <w:r>
        <w:t xml:space="preserve">commends the firm for its due diligence in assessing the integrity of prospective clients, which helps mitigate reputational risk.</w:t>
      </w:r>
    </w:p>
    <w:bookmarkEnd w:id="23"/>
    <w:bookmarkStart w:id="24" w:name="X6049308d3900a60c57e4391997e31490fd046cb"/>
    <w:p>
      <w:pPr>
        <w:pStyle w:val="Heading2"/>
      </w:pPr>
      <w:r>
        <w:t xml:space="preserve">4. Audit Methodology and Engagement Performance</w:t>
      </w:r>
    </w:p>
    <w:p>
      <w:pPr>
        <w:pStyle w:val="FirstParagraph"/>
      </w:pPr>
      <w:r>
        <w:t xml:space="preserve">The core of this</w:t>
      </w:r>
      <w:r>
        <w:t xml:space="preserve"> </w:t>
      </w:r>
      <w:r>
        <w:rPr>
          <w:bCs/>
          <w:b/>
        </w:rPr>
        <w:t xml:space="preserve">Peer Review Report</w:t>
      </w:r>
      <w:r>
        <w:t xml:space="preserve"> </w:t>
      </w:r>
      <w:r>
        <w:t xml:space="preserve">involves the inspection of selected audit files. The review team analyzed a sample of audits conducted by the</w:t>
      </w:r>
      <w:r>
        <w:t xml:space="preserve"> </w:t>
      </w:r>
      <w:r>
        <w:rPr>
          <w:bCs/>
          <w:b/>
        </w:rPr>
        <w:t xml:space="preserve">Auditor</w:t>
      </w:r>
      <w:r>
        <w:t xml:space="preserve"> </w:t>
      </w:r>
      <w:r>
        <w:t xml:space="preserve">during the review period. The focus was on the adequacy of audit evidence, the appropriateness of audit conclusions, and the quality of the audit report.</w:t>
      </w:r>
    </w:p>
    <w:p>
      <w:pPr>
        <w:pStyle w:val="BodyText"/>
      </w:pPr>
      <w:r>
        <w:t xml:space="preserve">It was noted that the</w:t>
      </w:r>
      <w:r>
        <w:t xml:space="preserve"> </w:t>
      </w:r>
      <w:r>
        <w:rPr>
          <w:bCs/>
          <w:b/>
        </w:rPr>
        <w:t xml:space="preserve">Auditor</w:t>
      </w:r>
      <w:r>
        <w:t xml:space="preserve"> </w:t>
      </w:r>
      <w:r>
        <w:t xml:space="preserve">utilizes a modern, risk-based audit methodology. The firm effectively identifies and assesses risks of material misstatement at both the financial statement and assertion levels. In the context of</w:t>
      </w:r>
      <w:r>
        <w:t xml:space="preserve"> </w:t>
      </w:r>
      <w:r>
        <w:rPr>
          <w:bCs/>
          <w:b/>
        </w:rPr>
        <w:t xml:space="preserve">Malaysia Kuala Lumpur</w:t>
      </w:r>
      <w:r>
        <w:t xml:space="preserve">, where digital transformation is accelerating, the</w:t>
      </w:r>
      <w:r>
        <w:t xml:space="preserve"> </w:t>
      </w:r>
      <w:r>
        <w:rPr>
          <w:bCs/>
          <w:b/>
        </w:rPr>
        <w:t xml:space="preserve">Auditor</w:t>
      </w:r>
      <w:r>
        <w:t xml:space="preserve"> </w:t>
      </w:r>
      <w:r>
        <w:t xml:space="preserve">has begun integrating data analytics into their audit procedures. The</w:t>
      </w:r>
      <w:r>
        <w:t xml:space="preserve"> </w:t>
      </w:r>
      <w:r>
        <w:rPr>
          <w:bCs/>
          <w:b/>
        </w:rPr>
        <w:t xml:space="preserve">Peer Review Report</w:t>
      </w:r>
      <w:r>
        <w:t xml:space="preserve"> </w:t>
      </w:r>
      <w:r>
        <w:t xml:space="preserve">views this as a positive development that enhances audit efficiency and effectiveness.</w:t>
      </w:r>
    </w:p>
    <w:p>
      <w:pPr>
        <w:pStyle w:val="BodyText"/>
      </w:pPr>
      <w:r>
        <w:t xml:space="preserve">However, the report highlights areas for improvement. In some instances, the documentation of the</w:t>
      </w:r>
      <w:r>
        <w:t xml:space="preserve"> </w:t>
      </w:r>
      <w:r>
        <w:rPr>
          <w:bCs/>
          <w:b/>
        </w:rPr>
        <w:t xml:space="preserve">Auditor</w:t>
      </w:r>
      <w:r>
        <w:t xml:space="preserve">'s response to assessed risks was insufficient. The</w:t>
      </w:r>
      <w:r>
        <w:t xml:space="preserve"> </w:t>
      </w:r>
      <w:r>
        <w:rPr>
          <w:bCs/>
          <w:b/>
        </w:rPr>
        <w:t xml:space="preserve">Peer Review Report</w:t>
      </w:r>
      <w:r>
        <w:t xml:space="preserve"> </w:t>
      </w:r>
      <w:r>
        <w:t xml:space="preserve">recommends that the firm provide more detailed guidance to its engagement teams on documenting the rationale behind significant audit judgments. Furthermore, the review suggests that the</w:t>
      </w:r>
      <w:r>
        <w:t xml:space="preserve"> </w:t>
      </w:r>
      <w:r>
        <w:rPr>
          <w:bCs/>
          <w:b/>
        </w:rPr>
        <w:t xml:space="preserve">Auditor</w:t>
      </w:r>
      <w:r>
        <w:t xml:space="preserve"> </w:t>
      </w:r>
      <w:r>
        <w:t xml:space="preserve">should strengthen its review of internal controls, particularly in IT environments, which are critical for many clients in the Kuala Lumpur financial district.</w:t>
      </w:r>
    </w:p>
    <w:bookmarkEnd w:id="24"/>
    <w:bookmarkStart w:id="25" w:name="monitoring-and-remediation"/>
    <w:p>
      <w:pPr>
        <w:pStyle w:val="Heading2"/>
      </w:pPr>
      <w:r>
        <w:t xml:space="preserve">5. Monitoring and Remediation</w:t>
      </w:r>
    </w:p>
    <w:p>
      <w:pPr>
        <w:pStyle w:val="FirstParagraph"/>
      </w:pPr>
      <w:r>
        <w:t xml:space="preserve">The final section of this</w:t>
      </w:r>
      <w:r>
        <w:t xml:space="preserve"> </w:t>
      </w:r>
      <w:r>
        <w:rPr>
          <w:bCs/>
          <w:b/>
        </w:rPr>
        <w:t xml:space="preserve">Peer Review Report</w:t>
      </w:r>
      <w:r>
        <w:t xml:space="preserve"> </w:t>
      </w:r>
      <w:r>
        <w:t xml:space="preserve">addresses the firm’s monitoring process. The</w:t>
      </w:r>
      <w:r>
        <w:t xml:space="preserve"> </w:t>
      </w:r>
      <w:r>
        <w:rPr>
          <w:bCs/>
          <w:b/>
        </w:rPr>
        <w:t xml:space="preserve">Auditor</w:t>
      </w:r>
      <w:r>
        <w:t xml:space="preserve"> </w:t>
      </w:r>
      <w:r>
        <w:t xml:space="preserve">is required to establish a process for monitoring the effectiveness of its quality control system. The review found that the firm conducts periodic internal inspections of completed engagements.</w:t>
      </w:r>
    </w:p>
    <w:p>
      <w:pPr>
        <w:pStyle w:val="BodyText"/>
      </w:pPr>
      <w:r>
        <w:t xml:space="preserve">The</w:t>
      </w:r>
      <w:r>
        <w:t xml:space="preserve"> </w:t>
      </w:r>
      <w:r>
        <w:rPr>
          <w:bCs/>
          <w:b/>
        </w:rPr>
        <w:t xml:space="preserve">Peer Review Report</w:t>
      </w:r>
      <w:r>
        <w:t xml:space="preserve"> </w:t>
      </w:r>
      <w:r>
        <w:t xml:space="preserve">notes that while the monitoring process exists, the follow-up on identified deficiencies could be more systematic. The firm should ensure that all remedial actions are tracked to completion. This is essential to maintain the high standards expected of an</w:t>
      </w:r>
      <w:r>
        <w:t xml:space="preserve"> </w:t>
      </w:r>
      <w:r>
        <w:rPr>
          <w:bCs/>
          <w:b/>
        </w:rPr>
        <w:t xml:space="preserve">Auditor</w:t>
      </w:r>
      <w:r>
        <w:t xml:space="preserve"> </w:t>
      </w:r>
      <w:r>
        <w:t xml:space="preserve">in</w:t>
      </w:r>
      <w:r>
        <w:t xml:space="preserve"> </w:t>
      </w:r>
      <w:r>
        <w:rPr>
          <w:bCs/>
          <w:b/>
        </w:rPr>
        <w:t xml:space="preserve">Malaysia Kuala Lumpur</w:t>
      </w:r>
      <w:r>
        <w:t xml:space="preserve">. The report recommends the implementation of a centralized tracking system for quality control issues to ensure timely resolution and continuous improvement.</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finds that the</w:t>
      </w:r>
      <w:r>
        <w:t xml:space="preserve"> </w:t>
      </w:r>
      <w:r>
        <w:rPr>
          <w:bCs/>
          <w:b/>
        </w:rPr>
        <w:t xml:space="preserve">Auditor</w:t>
      </w:r>
      <w:r>
        <w:t xml:space="preserve"> </w:t>
      </w:r>
      <w:r>
        <w:t xml:space="preserve">firm generally maintains a quality control system that is designed and operated effectively. The firm demonstrates a strong commitment to professional standards and ethical conduct. However, there are specific areas where improvements are necessary to fully align with the rigorous expectations of the regulatory bodies in</w:t>
      </w:r>
      <w:r>
        <w:t xml:space="preserve"> </w:t>
      </w:r>
      <w:r>
        <w:rPr>
          <w:bCs/>
          <w:b/>
        </w:rPr>
        <w:t xml:space="preserve">Malaysia Kuala Lumpur</w:t>
      </w:r>
      <w:r>
        <w:t xml:space="preserve">.</w:t>
      </w:r>
    </w:p>
    <w:p>
      <w:pPr>
        <w:pStyle w:val="BodyText"/>
      </w:pPr>
      <w:r>
        <w:t xml:space="preserve">The key recommendations from this</w:t>
      </w:r>
      <w:r>
        <w:t xml:space="preserve"> </w:t>
      </w:r>
      <w:r>
        <w:rPr>
          <w:bCs/>
          <w:b/>
        </w:rPr>
        <w:t xml:space="preserve">Peer Review Report</w:t>
      </w:r>
      <w:r>
        <w:t xml:space="preserve"> </w:t>
      </w:r>
      <w:r>
        <w:t xml:space="preserve">include:</w:t>
      </w:r>
    </w:p>
    <w:p>
      <w:pPr>
        <w:numPr>
          <w:ilvl w:val="0"/>
          <w:numId w:val="1001"/>
        </w:numPr>
        <w:pStyle w:val="Compact"/>
      </w:pPr>
      <w:r>
        <w:t xml:space="preserve">Enhancing documentation standards for audit judgments and risk responses.</w:t>
      </w:r>
    </w:p>
    <w:p>
      <w:pPr>
        <w:numPr>
          <w:ilvl w:val="0"/>
          <w:numId w:val="1001"/>
        </w:numPr>
        <w:pStyle w:val="Compact"/>
      </w:pPr>
      <w:r>
        <w:t xml:space="preserve">Strengthening training on independence and ethical requirements for all staff levels.</w:t>
      </w:r>
    </w:p>
    <w:p>
      <w:pPr>
        <w:numPr>
          <w:ilvl w:val="0"/>
          <w:numId w:val="1001"/>
        </w:numPr>
        <w:pStyle w:val="Compact"/>
      </w:pPr>
      <w:r>
        <w:t xml:space="preserve">Improving the monitoring and follow-up process for identified quality control deficiencies.</w:t>
      </w:r>
    </w:p>
    <w:p>
      <w:pPr>
        <w:numPr>
          <w:ilvl w:val="0"/>
          <w:numId w:val="1001"/>
        </w:numPr>
        <w:pStyle w:val="Compact"/>
      </w:pPr>
      <w:r>
        <w:t xml:space="preserve">Increasing the use of data analytics in audit procedures to address the complexities of modern business environments in</w:t>
      </w:r>
      <w:r>
        <w:t xml:space="preserve"> </w:t>
      </w:r>
      <w:r>
        <w:rPr>
          <w:bCs/>
          <w:b/>
        </w:rPr>
        <w:t xml:space="preserve">Malaysia Kuala Lumpur</w:t>
      </w:r>
      <w:r>
        <w:t xml:space="preserve">.</w:t>
      </w:r>
    </w:p>
    <w:p>
      <w:pPr>
        <w:pStyle w:val="FirstParagraph"/>
      </w:pPr>
      <w:r>
        <w:t xml:space="preserve">The</w:t>
      </w:r>
      <w:r>
        <w:t xml:space="preserve"> </w:t>
      </w:r>
      <w:r>
        <w:rPr>
          <w:bCs/>
          <w:b/>
        </w:rPr>
        <w:t xml:space="preserve">Auditor</w:t>
      </w:r>
      <w:r>
        <w:t xml:space="preserve"> </w:t>
      </w:r>
      <w:r>
        <w:t xml:space="preserve">is expected to address these recommendations within the next twelve months. A follow-up review may be conducted to verify the implementation of these improvements. This</w:t>
      </w:r>
      <w:r>
        <w:t xml:space="preserve"> </w:t>
      </w:r>
      <w:r>
        <w:rPr>
          <w:bCs/>
          <w:b/>
        </w:rPr>
        <w:t xml:space="preserve">Peer Review Report</w:t>
      </w:r>
      <w:r>
        <w:t xml:space="preserve"> </w:t>
      </w:r>
      <w:r>
        <w:t xml:space="preserve">serves as a vital tool for ensuring the continued reliability and integrity of the audit profession in</w:t>
      </w:r>
      <w:r>
        <w:t xml:space="preserve"> </w:t>
      </w:r>
      <w:r>
        <w:rPr>
          <w:bCs/>
          <w:b/>
        </w:rPr>
        <w:t xml:space="preserve">Malaysia Kuala Lumpur</w:t>
      </w:r>
      <w:r>
        <w:t xml:space="preserve">.</w:t>
      </w:r>
    </w:p>
    <w:p>
      <w:pPr>
        <w:pStyle w:val="BodyText"/>
      </w:pPr>
      <w:r>
        <w:rPr>
          <w:bCs/>
          <w:b/>
        </w:rPr>
        <w:t xml:space="preserve">Lead Reviewer Signature:</w:t>
      </w:r>
      <w:r>
        <w:br/>
      </w:r>
      <w:r>
        <w:t xml:space="preserve">__________________________</w:t>
      </w:r>
      <w:r>
        <w:br/>
      </w:r>
      <w:r>
        <w:t xml:space="preserve">Dr. A. Rahman</w:t>
      </w:r>
      <w:r>
        <w:br/>
      </w:r>
      <w:r>
        <w:t xml:space="preserve">Senior Partner, Independent Review Board</w:t>
      </w:r>
    </w:p>
    <w:p>
      <w:pPr>
        <w:pStyle w:val="BodyText"/>
      </w:pPr>
      <w:r>
        <w:rPr>
          <w:bCs/>
          <w:b/>
        </w:rPr>
        <w:t xml:space="preserve">Partner Acknowledgement:</w:t>
      </w:r>
      <w:r>
        <w:br/>
      </w:r>
      <w:r>
        <w:t xml:space="preserve">__________________________</w:t>
      </w:r>
      <w:r>
        <w:br/>
      </w:r>
      <w:r>
        <w:t xml:space="preserve">Lee Wei Ming</w:t>
      </w:r>
      <w:r>
        <w:br/>
      </w:r>
      <w:r>
        <w:t xml:space="preserve">Managing Partner, Apex Audit &amp; Associates Sdn Bhd</w:t>
      </w:r>
    </w:p>
    <w:p>
      <w:pPr>
        <w:pStyle w:val="BodyText"/>
      </w:pPr>
      <w:r>
        <w:t xml:space="preserve">This document is confidential and intended solely for the use of the addressee. Unauthorized distribution is prohibited. Prepared in accordance with the requirements of the Malaysian Institute of Accountants.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Quality Assurance</dc:title>
  <dc:creator/>
  <dc:language>en</dc:language>
  <cp:keywords/>
  <dcterms:created xsi:type="dcterms:W3CDTF">2026-10-10T07:03:53Z</dcterms:created>
  <dcterms:modified xsi:type="dcterms:W3CDTF">2026-10-10T07:03:53Z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