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r>
        <w:t xml:space="preserve"> </w:t>
      </w:r>
      <w:r>
        <w:t xml:space="preserve">-</w:t>
      </w:r>
      <w:r>
        <w:t xml:space="preserve"> </w:t>
      </w:r>
      <w:r>
        <w:t xml:space="preserve">Mexico</w:t>
      </w:r>
      <w:r>
        <w:t xml:space="preserve"> </w:t>
      </w:r>
      <w:r>
        <w:t xml:space="preserve">City</w:t>
      </w:r>
    </w:p>
    <w:bookmarkStart w:id="20" w:name="Xe1dfa1c6749e14681a1c1be8e1cca65bbcd2a7a"/>
    <w:p>
      <w:pPr>
        <w:pStyle w:val="Heading1"/>
      </w:pPr>
      <w:r>
        <w:t xml:space="preserve">Peer Review Report: Auditor Performance Evaluation</w:t>
      </w:r>
    </w:p>
    <w:p>
      <w:pPr>
        <w:pStyle w:val="FirstParagraph"/>
      </w:pPr>
      <w:r>
        <w:rPr>
          <w:bCs/>
          <w:b/>
        </w:rPr>
        <w:t xml:space="preserve">Scope:</w:t>
      </w:r>
      <w:r>
        <w:t xml:space="preserve"> </w:t>
      </w:r>
      <w:r>
        <w:t xml:space="preserve">Compliance and Quality Assurance Assessment in Mexico City</w:t>
      </w:r>
    </w:p>
    <w:bookmarkEnd w:id="20"/>
    <w:p>
      <w:pPr>
        <w:pStyle w:val="BodyText"/>
      </w:pPr>
      <w:r>
        <w:t xml:space="preserve">Report ID:</w:t>
      </w:r>
      <w:r>
        <w:t xml:space="preserve"> </w:t>
      </w:r>
      <w:r>
        <w:t xml:space="preserve">MX-CMX-PR-2023-089</w:t>
      </w:r>
    </w:p>
    <w:p>
      <w:pPr>
        <w:pStyle w:val="BodyText"/>
      </w:pPr>
      <w:r>
        <w:t xml:space="preserve">Date of Review:</w:t>
      </w:r>
      <w:r>
        <w:t xml:space="preserve"> </w:t>
      </w:r>
      <w:r>
        <w:t xml:space="preserve">October 24, 2023</w:t>
      </w:r>
    </w:p>
    <w:p>
      <w:pPr>
        <w:pStyle w:val="BodyText"/>
      </w:pPr>
      <w:r>
        <w:t xml:space="preserve">Auditor Reviewed:</w:t>
      </w:r>
      <w:r>
        <w:t xml:space="preserve"> </w:t>
      </w:r>
      <w:r>
        <w:t xml:space="preserve">[Auditor Name Redacted]</w:t>
      </w:r>
    </w:p>
    <w:p>
      <w:pPr>
        <w:pStyle w:val="BodyText"/>
      </w:pPr>
      <w:r>
        <w:t xml:space="preserve">Reviewing Body:</w:t>
      </w:r>
      <w:r>
        <w:t xml:space="preserve"> </w:t>
      </w:r>
      <w:r>
        <w:t xml:space="preserve">Internal Quality Control Committee</w:t>
      </w:r>
    </w:p>
    <w:bookmarkStart w:id="21" w:name="executive-summary"/>
    <w:p>
      <w:pPr>
        <w:pStyle w:val="Heading2"/>
      </w:pPr>
      <w:r>
        <w:t xml:space="preserve">1. Executive Summary</w:t>
      </w:r>
    </w:p>
    <w:p>
      <w:pPr>
        <w:pStyle w:val="FirstParagraph"/>
      </w:pPr>
      <w:r>
        <w:t xml:space="preserve">This Peer Review Report documents the comprehensive evaluation of the professional performance, technical competence, and ethical adherence of the designated Auditor operating within the jurisdiction of Mexico City. The primary objective of this review is to ensure that the Auditor's methodologies align with the International Standards on Auditing (ISA) and the specific regulatory requirements enforced by the Mexican Institute of Public Accountants (IMCP) and the Federal Audit Entity (EPA).</w:t>
      </w:r>
    </w:p>
    <w:p>
      <w:pPr>
        <w:pStyle w:val="BodyText"/>
      </w:pPr>
      <w:r>
        <w:t xml:space="preserve">The review focuses on the Auditor's ability to navigate the complex fiscal landscape of Mexico City, including local tax regulations, corporate governance standards, and anti-money laundering protocols. The overall assessment indicates a high level of proficiency, though specific areas regarding documentation of local municipal compliance require minor adjustments.</w:t>
      </w:r>
    </w:p>
    <w:bookmarkEnd w:id="21"/>
    <w:bookmarkStart w:id="22" w:name="scope-and-methodology"/>
    <w:p>
      <w:pPr>
        <w:pStyle w:val="Heading2"/>
      </w:pPr>
      <w:r>
        <w:t xml:space="preserve">2. Scope and Methodology</w:t>
      </w:r>
    </w:p>
    <w:p>
      <w:pPr>
        <w:pStyle w:val="FirstParagraph"/>
      </w:pPr>
      <w:r>
        <w:t xml:space="preserve">The peer review was conducted over a period of four weeks, analyzing a sample of five audit engagements performed by the Auditor in Mexico City during the fiscal year 2022-2023. The methodology involved:</w:t>
      </w:r>
    </w:p>
    <w:p>
      <w:pPr>
        <w:numPr>
          <w:ilvl w:val="0"/>
          <w:numId w:val="1001"/>
        </w:numPr>
        <w:pStyle w:val="Compact"/>
      </w:pPr>
      <w:r>
        <w:rPr>
          <w:bCs/>
          <w:b/>
        </w:rPr>
        <w:t xml:space="preserve">Workpaper Examination:</w:t>
      </w:r>
      <w:r>
        <w:t xml:space="preserve"> </w:t>
      </w:r>
      <w:r>
        <w:t xml:space="preserve">Detailed review of audit evidence, risk assessments, and working papers.</w:t>
      </w:r>
    </w:p>
    <w:p>
      <w:pPr>
        <w:numPr>
          <w:ilvl w:val="0"/>
          <w:numId w:val="1001"/>
        </w:numPr>
        <w:pStyle w:val="Compact"/>
      </w:pPr>
      <w:r>
        <w:rPr>
          <w:bCs/>
          <w:b/>
        </w:rPr>
        <w:t xml:space="preserve">Regulatory Compliance Check:</w:t>
      </w:r>
      <w:r>
        <w:t xml:space="preserve"> </w:t>
      </w:r>
      <w:r>
        <w:t xml:space="preserve">Verification of adherence to the Mexican Federal Tax Code (CFF) and local Mexico City ordinances.</w:t>
      </w:r>
    </w:p>
    <w:p>
      <w:pPr>
        <w:numPr>
          <w:ilvl w:val="0"/>
          <w:numId w:val="1001"/>
        </w:numPr>
        <w:pStyle w:val="Compact"/>
      </w:pPr>
      <w:r>
        <w:rPr>
          <w:bCs/>
          <w:b/>
        </w:rPr>
        <w:t xml:space="preserve">Interviews:</w:t>
      </w:r>
      <w:r>
        <w:t xml:space="preserve"> </w:t>
      </w:r>
      <w:r>
        <w:t xml:space="preserve">Discussions with the Auditor and relevant stakeholders to assess professional skepticism and communication skills.</w:t>
      </w:r>
    </w:p>
    <w:bookmarkEnd w:id="22"/>
    <w:bookmarkStart w:id="23" w:name="Xe652dd73bd2e30888a97d29eb961ec6cf6bc86a"/>
    <w:p>
      <w:pPr>
        <w:pStyle w:val="Heading2"/>
      </w:pPr>
      <w:r>
        <w:t xml:space="preserve">3. Technical Competence and Regulatory Knowledge</w:t>
      </w:r>
    </w:p>
    <w:p>
      <w:pPr>
        <w:pStyle w:val="FirstParagraph"/>
      </w:pPr>
      <w:r>
        <w:t xml:space="preserve">A critical aspect of this Peer Review Report is the evaluation of the Auditor's technical knowledge. The Auditor demonstrated a robust understanding of the financial reporting frameworks applicable in Mexico. Specifically, the application of Mexican Financial Reporting Standards (NIF) was accurate and consistent across the reviewed engagements.</w:t>
      </w:r>
    </w:p>
    <w:p>
      <w:pPr>
        <w:pStyle w:val="BodyText"/>
      </w:pPr>
      <w:r>
        <w:t xml:space="preserve">In the context of Mexico City, the Auditor showed particular strength in handling complex transactions involving real estate and construction, sectors that are heavily regulated in the capital. The Auditor correctly identified risks associated with local zoning laws and municipal permits, ensuring that these non-financial factors were appropriately considered in the financial audit opinion.</w:t>
      </w:r>
    </w:p>
    <w:p>
      <w:pPr>
        <w:pStyle w:val="BodyText"/>
      </w:pPr>
      <w:r>
        <w:t xml:space="preserve">Furthermore, the Auditor's proficiency in Spanish and English facilitated clear communication with multinational clients operating in the Mexico City financial district, ensuring that audit findings were accurately conveyed without linguistic ambiguity.</w:t>
      </w:r>
    </w:p>
    <w:bookmarkEnd w:id="23"/>
    <w:bookmarkStart w:id="24" w:name="ethical-standards-and-independence"/>
    <w:p>
      <w:pPr>
        <w:pStyle w:val="Heading2"/>
      </w:pPr>
      <w:r>
        <w:t xml:space="preserve">4. Ethical Standards and Independence</w:t>
      </w:r>
    </w:p>
    <w:p>
      <w:pPr>
        <w:pStyle w:val="FirstParagraph"/>
      </w:pPr>
      <w:r>
        <w:t xml:space="preserve">Adherence to ethical principles is paramount for any Auditor. This review confirmed that the Auditor maintained strict independence and objectivity throughout all engagements. There were no conflicts of interest identified, and the Auditor strictly followed the Code of Ethics for Professional Accountants in Mexico.</w:t>
      </w:r>
    </w:p>
    <w:p>
      <w:pPr>
        <w:pStyle w:val="BodyText"/>
      </w:pPr>
      <w:r>
        <w:t xml:space="preserve">The Auditor demonstrated high integrity when dealing with sensitive data, complying with Mexico's Federal Law on Protection of Personal Data Held by Private Parties. This is particularly relevant in Mexico City, where data privacy scrutiny is intensifying. The Auditor's commitment to confidentiality was evident in the secure handling of client information.</w:t>
      </w:r>
    </w:p>
    <w:bookmarkEnd w:id="24"/>
    <w:bookmarkStart w:id="25" w:name="quality-of-audit-documentation"/>
    <w:p>
      <w:pPr>
        <w:pStyle w:val="Heading2"/>
      </w:pPr>
      <w:r>
        <w:t xml:space="preserve">5. Quality of Audit Documentation</w:t>
      </w:r>
    </w:p>
    <w:p>
      <w:pPr>
        <w:pStyle w:val="FirstParagraph"/>
      </w:pPr>
      <w:r>
        <w:t xml:space="preserve">The quality of audit documentation is a key indicator of audit quality. The Auditor's workpapers were generally well-organized, logical, and supported by sufficient appropriate audit evidence. However, the review identified a need for improvement in the documentation of specific local tax provisions unique to Mexico City.</w:t>
      </w:r>
    </w:p>
    <w:p>
      <w:pPr>
        <w:pStyle w:val="BodyText"/>
      </w:pPr>
      <w:r>
        <w:t xml:space="preserve">While federal tax compliance was thoroughly documented, the linkage between local municipal taxes (such as property tax or business license fees) and the overall financial statements could be more explicit. Enhancing this documentation will provide a clearer audit trail for future reviews and regulatory inspections.</w:t>
      </w:r>
    </w:p>
    <w:bookmarkEnd w:id="25"/>
    <w:bookmarkStart w:id="26" w:name="X062eebf71522c4cca391bc834cae770b97a523b"/>
    <w:p>
      <w:pPr>
        <w:pStyle w:val="Heading2"/>
      </w:pPr>
      <w:r>
        <w:t xml:space="preserve">6. Risk Assessment and Professional Skepticism</w:t>
      </w:r>
    </w:p>
    <w:p>
      <w:pPr>
        <w:pStyle w:val="FirstParagraph"/>
      </w:pPr>
      <w:r>
        <w:t xml:space="preserve">The Auditor exhibited strong professional skepticism, particularly in identifying potential fraud risks. In the dynamic economic environment of Mexico City, the Auditor effectively assessed risks related to revenue recognition and related-party transactions.</w:t>
      </w:r>
    </w:p>
    <w:p>
      <w:pPr>
        <w:pStyle w:val="BodyText"/>
      </w:pPr>
      <w:r>
        <w:t xml:space="preserve">The risk assessment procedures were tailored to the specific industry and operational context of the clients. The Auditor did not rely solely on management representations but sought corroborating evidence, which is a hallmark of a high-quality audit.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Auditor:</w:t>
      </w:r>
    </w:p>
    <w:p>
      <w:pPr>
        <w:numPr>
          <w:ilvl w:val="0"/>
          <w:numId w:val="1002"/>
        </w:numPr>
        <w:pStyle w:val="Compact"/>
      </w:pPr>
      <w:r>
        <w:rPr>
          <w:bCs/>
          <w:b/>
        </w:rPr>
        <w:t xml:space="preserve">Enhance Local Tax Documentation:</w:t>
      </w:r>
      <w:r>
        <w:t xml:space="preserve"> </w:t>
      </w:r>
      <w:r>
        <w:t xml:space="preserve">Develop a standardized checklist for documenting compliance with Mexico City-specific tax regulations to ensure consistency across all engagements.</w:t>
      </w:r>
    </w:p>
    <w:p>
      <w:pPr>
        <w:numPr>
          <w:ilvl w:val="0"/>
          <w:numId w:val="1002"/>
        </w:numPr>
        <w:pStyle w:val="Compact"/>
      </w:pPr>
      <w:r>
        <w:rPr>
          <w:bCs/>
          <w:b/>
        </w:rPr>
        <w:t xml:space="preserve">Continuous Professional Development:</w:t>
      </w:r>
      <w:r>
        <w:t xml:space="preserve"> </w:t>
      </w:r>
      <w:r>
        <w:t xml:space="preserve">Participate in advanced training sessions focused on recent changes in Mexican corporate law and anti-corruption measures, which are increasingly relevant in the Mexico City business sector.</w:t>
      </w:r>
    </w:p>
    <w:p>
      <w:pPr>
        <w:numPr>
          <w:ilvl w:val="0"/>
          <w:numId w:val="1002"/>
        </w:numPr>
        <w:pStyle w:val="Compact"/>
      </w:pPr>
      <w:r>
        <w:rPr>
          <w:bCs/>
          <w:b/>
        </w:rPr>
        <w:t xml:space="preserve">Strengthen IT Audit Skills:</w:t>
      </w:r>
      <w:r>
        <w:t xml:space="preserve"> </w:t>
      </w:r>
      <w:r>
        <w:t xml:space="preserve">Given the digital transformation of businesses in Mexico City, the Auditor should further develop skills in auditing IT systems and cybersecurity controls.</w:t>
      </w:r>
    </w:p>
    <w:bookmarkEnd w:id="27"/>
    <w:bookmarkStart w:id="28" w:name="conclusion"/>
    <w:p>
      <w:pPr>
        <w:pStyle w:val="Heading2"/>
      </w:pPr>
      <w:r>
        <w:t xml:space="preserve">8. Conclusion</w:t>
      </w:r>
    </w:p>
    <w:p>
      <w:pPr>
        <w:pStyle w:val="FirstParagraph"/>
      </w:pPr>
      <w:r>
        <w:t xml:space="preserve">In conclusion, this Peer Review Report affirms that the Auditor performs at a level that meets or exceeds the professional standards required in Mexico. The Auditor's technical expertise, ethical conduct, and understanding of the Mexico City regulatory environment are commendable. By addressing the minor recommendations outlined above, the Auditor will further enhance the quality and reliability of their audit services.</w:t>
      </w:r>
    </w:p>
    <w:p>
      <w:pPr>
        <w:pStyle w:val="BodyText"/>
      </w:pPr>
      <w:r>
        <w:t xml:space="preserve">This report serves as an official record of the Auditor's performance and is intended to support continuous improvement and maintain the highest standards of auditing practice in Mexico City.</w:t>
      </w:r>
    </w:p>
    <w:p>
      <w:pPr>
        <w:pStyle w:val="BodyText"/>
      </w:pPr>
      <w:r>
        <w:rPr>
          <w:bCs/>
          <w:b/>
        </w:rPr>
        <w:t xml:space="preserve">Reviewed by:</w:t>
      </w:r>
    </w:p>
    <w:p>
      <w:pPr>
        <w:pStyle w:val="BodyText"/>
      </w:pPr>
      <w:r>
        <w:t xml:space="preserve">__________________________</w:t>
      </w:r>
      <w:r>
        <w:br/>
      </w:r>
      <w:r>
        <w:t xml:space="preserve">Senior Review Partner</w:t>
      </w:r>
      <w:r>
        <w:br/>
      </w:r>
      <w:r>
        <w:t xml:space="preserve">Quality Assurance Department</w:t>
      </w:r>
    </w:p>
    <w:p>
      <w:pPr>
        <w:pStyle w:val="BodyText"/>
      </w:pPr>
      <w:r>
        <w:t xml:space="preserve">© 2023 Internal Quality Control Committee. All rights reserved. This document is confidential and intended solely for the use of the addressee.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 - Mexico City</dc:title>
  <dc:creator/>
  <dc:language>en</dc:language>
  <cp:keywords/>
  <dcterms:created xsi:type="dcterms:W3CDTF">2026-10-10T07:03:41Z</dcterms:created>
  <dcterms:modified xsi:type="dcterms:W3CDTF">2026-10-10T07:03:41Z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