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Quality</w:t>
      </w:r>
      <w:r>
        <w:t xml:space="preserve"> </w:t>
      </w:r>
      <w:r>
        <w:t xml:space="preserve">Assurance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Independent Audit Quality Assessment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set forth by the Dutch Institute of Registered Accountants (NBA) and the European Federation of Accountants (EFA). The primary objective of this review is to evaluate the quality of audit work performed by the designated Auditor within the jurisdiction of Netherlands Amsterdam. This assessment is critical to ensuring compliance with the Dutch Audit Act (Wet toezicht accountantsorganisaties - Wta) and International Standards on Auditing (ISA) as adopted in the European Union.</w:t>
      </w:r>
    </w:p>
    <w:p>
      <w:pPr>
        <w:pStyle w:val="BodyText"/>
      </w:pPr>
      <w:r>
        <w:t xml:space="preserve">The scope of this Peer Review Report encompasses a detailed examination of the Auditor's adherence to professional ethics, technical competence, and the robustness of their internal quality control systems. Given the stringent regulatory environment in Netherlands Amsterdam, this review focuses specifically on the Auditor's ability to maintain independence, exercise professional skepticism, and deliver audit opinions that are both accurate and defensible.</w:t>
      </w:r>
    </w:p>
    <w:bookmarkEnd w:id="21"/>
    <w:bookmarkStart w:id="22" w:name="X604cd3d012186642c489c34e66503110c19d06c"/>
    <w:p>
      <w:pPr>
        <w:pStyle w:val="Heading2"/>
      </w:pPr>
      <w:r>
        <w:t xml:space="preserve">2. Regulatory Context in Netherlands Amsterdam</w:t>
      </w:r>
    </w:p>
    <w:p>
      <w:pPr>
        <w:pStyle w:val="FirstParagraph"/>
      </w:pPr>
      <w:r>
        <w:t xml:space="preserve">The audit landscape in Netherlands Amsterdam is characterized by a high degree of regulatory scrutiny. The Authority for the Financial Markets (AFM) and the Netherlands Authority for the Financial Markets play pivotal roles in overseeing audit quality. Consequently, any Peer Review Report conducted in this region must align with the expectations of these regulatory bodies.</w:t>
      </w:r>
    </w:p>
    <w:p>
      <w:pPr>
        <w:pStyle w:val="BodyText"/>
      </w:pPr>
      <w:r>
        <w:t xml:space="preserve">The Auditor under review operates within a complex financial ecosystem that includes multinational corporations, financial institutions, and public sector entities. The review assesses whether the Auditor has implemented adequate procedures to address the specific risks associated with auditing entities in Netherlands Amsterdam, including cross-border transactions, tax compliance, and corporate governance standards.</w:t>
      </w:r>
    </w:p>
    <w:bookmarkEnd w:id="22"/>
    <w:bookmarkStart w:id="26" w:name="evaluation-of-the-auditors-performance"/>
    <w:p>
      <w:pPr>
        <w:pStyle w:val="Heading2"/>
      </w:pPr>
      <w:r>
        <w:t xml:space="preserve">3. Evaluation of the Auditor's Performance</w:t>
      </w:r>
    </w:p>
    <w:bookmarkStart w:id="23" w:name="professional-ethics-and-independence"/>
    <w:p>
      <w:pPr>
        <w:pStyle w:val="Heading3"/>
      </w:pPr>
      <w:r>
        <w:t xml:space="preserve">3.1 Professional Ethics and Independence</w:t>
      </w:r>
    </w:p>
    <w:p>
      <w:pPr>
        <w:pStyle w:val="FirstParagraph"/>
      </w:pPr>
      <w:r>
        <w:t xml:space="preserve">A fundamental aspect of this Peer Review Report is the evaluation of the Auditor's adherence to the Code of Ethics for Professional Accountants. The review confirms that the Auditor has maintained strict independence from the entities being audited. There were no conflicts of interest identified that could compromise the integrity of the audit process. The Auditor demonstrated a clear understanding of the ethical requirements specific to the Netherlands Amsterdam market, including the prohibition of certain non-audit services for listed companies.</w:t>
      </w:r>
    </w:p>
    <w:bookmarkEnd w:id="23"/>
    <w:bookmarkStart w:id="24" w:name="technical-competence-and-methodology"/>
    <w:p>
      <w:pPr>
        <w:pStyle w:val="Heading3"/>
      </w:pPr>
      <w:r>
        <w:t xml:space="preserve">3.2 Technical Competence and Methodology</w:t>
      </w:r>
    </w:p>
    <w:p>
      <w:pPr>
        <w:pStyle w:val="FirstParagraph"/>
      </w:pPr>
      <w:r>
        <w:t xml:space="preserve">The Auditor's technical competence was assessed through a review of selected audit files. The findings indicate that the Auditor applied International Standards on Auditing (ISA) consistently and appropriately. The audit methodologies employed were rigorous, with a particular emphasis on risk assessment and materiality. The Auditor demonstrated a thorough understanding of the financial reporting frameworks applicable in the Netherlands, including the Dutch Financial Reporting Standards (NL-IFRS) and local GAAP.</w:t>
      </w:r>
    </w:p>
    <w:p>
      <w:pPr>
        <w:pStyle w:val="BodyText"/>
      </w:pPr>
      <w:r>
        <w:t xml:space="preserve">In the context of Netherlands Amsterdam, the Auditor showed proficiency in handling complex financial instruments and international tax structures. The review noted that the Auditor's team was well-trained and capable of addressing the technical challenges posed by the diverse client base in the region.</w:t>
      </w:r>
    </w:p>
    <w:bookmarkEnd w:id="24"/>
    <w:bookmarkStart w:id="25" w:name="quality-control-systems"/>
    <w:p>
      <w:pPr>
        <w:pStyle w:val="Heading3"/>
      </w:pPr>
      <w:r>
        <w:t xml:space="preserve">3.3 Quality Control Systems</w:t>
      </w:r>
    </w:p>
    <w:p>
      <w:pPr>
        <w:pStyle w:val="FirstParagraph"/>
      </w:pPr>
      <w:r>
        <w:t xml:space="preserve">The Auditor's internal quality control systems were found to be robust and effective. The Peer Review Report highlights the existence of a comprehensive quality management framework that includes regular training, peer reviews, and monitoring of audit engagements. The Auditor has established clear policies and procedures to ensure compliance with professional standards and regulatory requirements in Netherlands Amsterdam.</w:t>
      </w:r>
    </w:p>
    <w:p>
      <w:pPr>
        <w:pStyle w:val="BodyText"/>
      </w:pPr>
      <w:r>
        <w:t xml:space="preserve">The review also assessed the Auditor's use of technology in the audit process. The Auditor has invested in advanced audit software and data analytics tools, which enhance the efficiency and effectiveness of the audit work. This technological proficiency is particularly relevant in Netherlands Amsterdam, where digital transformation is a key trend in the financial sector.</w:t>
      </w:r>
    </w:p>
    <w:bookmarkEnd w:id="25"/>
    <w:bookmarkEnd w:id="26"/>
    <w:bookmarkStart w:id="27" w:name="findings-and-recommendations"/>
    <w:p>
      <w:pPr>
        <w:pStyle w:val="Heading2"/>
      </w:pPr>
      <w:r>
        <w:t xml:space="preserve">4. Findings and Recommendations</w:t>
      </w:r>
    </w:p>
    <w:p>
      <w:pPr>
        <w:pStyle w:val="FirstParagraph"/>
      </w:pPr>
      <w:r>
        <w:t xml:space="preserve">Overall, the Peer Review Report concludes that the Auditor meets the high standards expected in Netherlands Amsterdam. However, the review identified a few areas for improvement:</w:t>
      </w:r>
    </w:p>
    <w:p>
      <w:pPr>
        <w:numPr>
          <w:ilvl w:val="0"/>
          <w:numId w:val="1001"/>
        </w:numPr>
        <w:pStyle w:val="Compact"/>
      </w:pPr>
      <w:r>
        <w:rPr>
          <w:bCs/>
          <w:b/>
        </w:rPr>
        <w:t xml:space="preserve">Documentation:</w:t>
      </w:r>
      <w:r>
        <w:t xml:space="preserve"> </w:t>
      </w:r>
      <w:r>
        <w:t xml:space="preserve">While the audit documentation was generally thorough, there were instances where additional detail was needed to support certain audit conclusions. The Auditor is recommended to enhance the clarity and completeness of documentation to ensure it meets the requirements of the AFM and NBA.</w:t>
      </w:r>
    </w:p>
    <w:p>
      <w:pPr>
        <w:numPr>
          <w:ilvl w:val="0"/>
          <w:numId w:val="1001"/>
        </w:numPr>
        <w:pStyle w:val="Compact"/>
      </w:pPr>
      <w:r>
        <w:rPr>
          <w:bCs/>
          <w:b/>
        </w:rPr>
        <w:t xml:space="preserve">Continuing Professional Development:</w:t>
      </w:r>
      <w:r>
        <w:t xml:space="preserve"> </w:t>
      </w:r>
      <w:r>
        <w:t xml:space="preserve">The Auditor should continue to invest in the professional development of their team, particularly in areas such as cybersecurity and sustainability reporting, which are increasingly important in the Netherlands Amsterdam market.</w:t>
      </w:r>
    </w:p>
    <w:p>
      <w:pPr>
        <w:numPr>
          <w:ilvl w:val="0"/>
          <w:numId w:val="1001"/>
        </w:numPr>
        <w:pStyle w:val="Compact"/>
      </w:pPr>
      <w:r>
        <w:rPr>
          <w:bCs/>
          <w:b/>
        </w:rPr>
        <w:t xml:space="preserve">Client Communication:</w:t>
      </w:r>
      <w:r>
        <w:t xml:space="preserve"> </w:t>
      </w:r>
      <w:r>
        <w:t xml:space="preserve">The Auditor is encouraged to further improve communication with audit committees and management, ensuring that key audit matters and risks are clearly articulated and understood.</w:t>
      </w:r>
    </w:p>
    <w:bookmarkEnd w:id="27"/>
    <w:bookmarkStart w:id="28" w:name="conclusion"/>
    <w:p>
      <w:pPr>
        <w:pStyle w:val="Heading2"/>
      </w:pPr>
      <w:r>
        <w:t xml:space="preserve">5. Conclusion</w:t>
      </w:r>
    </w:p>
    <w:p>
      <w:pPr>
        <w:pStyle w:val="FirstParagraph"/>
      </w:pPr>
      <w:r>
        <w:t xml:space="preserve">This Peer Review Report provides a comprehensive assessment of the Auditor's performance in Netherlands Amsterdam. The Auditor has demonstrated a strong commitment to professional ethics, technical excellence, and quality control. The recommendations outlined in this report are intended to support the Auditor in maintaining and enhancing the quality of their audit services.</w:t>
      </w:r>
    </w:p>
    <w:p>
      <w:pPr>
        <w:pStyle w:val="BodyText"/>
      </w:pPr>
      <w:r>
        <w:t xml:space="preserve">The findings of this Peer Review Report will be shared with the relevant regulatory bodies in the Netherlands, including the AFM and the NBA, to ensure transparency and accountability. The Auditor is expected to implement the recommendations within the specified timeframe and report on the progress made.</w:t>
      </w:r>
    </w:p>
    <w:bookmarkEnd w:id="28"/>
    <w:p>
      <w:pPr>
        <w:pStyle w:val="BodyText"/>
      </w:pPr>
      <w:r>
        <w:rPr>
          <w:bCs/>
          <w:b/>
        </w:rPr>
        <w:t xml:space="preserve">Prepared by:</w:t>
      </w:r>
    </w:p>
    <w:p>
      <w:pPr>
        <w:pStyle w:val="BodyText"/>
      </w:pPr>
      <w:r>
        <w:t xml:space="preserve">John Doe, CPA</w:t>
      </w:r>
    </w:p>
    <w:p>
      <w:pPr>
        <w:pStyle w:val="BodyText"/>
      </w:pPr>
      <w:r>
        <w:t xml:space="preserve">Senior Peer Reviewer</w:t>
      </w:r>
    </w:p>
    <w:p>
      <w:pPr>
        <w:pStyle w:val="BodyText"/>
      </w:pPr>
      <w:r>
        <w:t xml:space="preserve">Netherlands Amsterdam</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Quality Assurance</dc:title>
  <dc:creator/>
  <dc:language>en</dc:language>
  <cp:keywords/>
  <dcterms:created xsi:type="dcterms:W3CDTF">2026-10-10T07:01:12Z</dcterms:created>
  <dcterms:modified xsi:type="dcterms:W3CDTF">2026-10-10T07:01:12Z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