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Audit</w:t>
      </w:r>
      <w:r>
        <w:t xml:space="preserve"> </w:t>
      </w:r>
      <w:r>
        <w:t xml:space="preserve">Firm</w:t>
      </w:r>
      <w:r>
        <w:t xml:space="preserve"> </w:t>
      </w:r>
      <w:r>
        <w:t xml:space="preserve">Compliance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Quality Control Systems of the Auditor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Pakistan Karachi</w:t>
      </w:r>
      <w:r>
        <w:t xml:space="preserve"> </w:t>
      </w:r>
      <w:r>
        <w:rPr>
          <w:bCs/>
          <w:b/>
        </w:rPr>
        <w:t xml:space="preserve">Reference No:</w:t>
      </w:r>
      <w:r>
        <w:t xml:space="preserve"> </w:t>
      </w:r>
      <w:r>
        <w:t xml:space="preserve">PR-KHI-2023-089</w:t>
      </w:r>
    </w:p>
    <w:bookmarkEnd w:id="20"/>
    <w:bookmarkStart w:id="21" w:name="introduction-and-scope"/>
    <w:p>
      <w:pPr>
        <w:pStyle w:val="Heading2"/>
      </w:pPr>
      <w:r>
        <w:t xml:space="preserve">1. Introduction and Scope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prepared to evaluate the quality control systems and audit practices of the designated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operating within the financial hub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review is conducted in strict accordance with the International Standard on Quality Control (ISQC) 1 and the specific regulatory requirements mandated by the Institute of Chartered Accountants of Pakistan (ICAP).</w:t>
      </w:r>
    </w:p>
    <w:p>
      <w:pPr>
        <w:pStyle w:val="BodyText"/>
      </w:pPr>
      <w:r>
        <w:t xml:space="preserve">As the commercial capital of the nation,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hosts a complex economic environment characterized by multinational corporations, large-scale manufacturing entities, and intricate banking structures. Consequently,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operating in this jurisdiction must demonstrate a heightened level of professional skepticism, technical competence, and adherence to ethical standards. This report assesses whether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has established and maintained a system of quality control that provides reasonable assurance that the firm and its personnel comply with professional standards and regulatory requirements applicable to the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market.</w:t>
      </w:r>
    </w:p>
    <w:bookmarkEnd w:id="21"/>
    <w:bookmarkStart w:id="22" w:name="regulatory-framework-and-context"/>
    <w:p>
      <w:pPr>
        <w:pStyle w:val="Heading2"/>
      </w:pPr>
      <w:r>
        <w:t xml:space="preserve">2. Regulatory Framework and Context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grounded in the legal framework of Pakistan, specifically the Companies Act 2017 and the Securities and Exchange Commission of Pakistan (SECP) regulations.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where the majority of listed companies are domiciled, the role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 critical for maintaining investor confidence and market integrity.</w:t>
      </w:r>
    </w:p>
    <w:p>
      <w:pPr>
        <w:pStyle w:val="BodyText"/>
      </w:pPr>
      <w:r>
        <w:t xml:space="preserve">The review focuses on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compliance with the Code of Ethics for Professional Accountants issued by ICAP. Given the dynamic nature of the business landscape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 expected to navigate challenges related to related-party transactions, revenue recognition in complex contracts, and compliance with local tax laws.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examines how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addresses these specific regional risks within their quality control framework.</w:t>
      </w:r>
    </w:p>
    <w:bookmarkEnd w:id="22"/>
    <w:bookmarkStart w:id="23" w:name="leadership-responsibilities-for-quality"/>
    <w:p>
      <w:pPr>
        <w:pStyle w:val="Heading2"/>
      </w:pPr>
      <w:r>
        <w:t xml:space="preserve">3. Leadership Responsibilities for Quality</w:t>
      </w:r>
    </w:p>
    <w:p>
      <w:pPr>
        <w:pStyle w:val="FirstParagraph"/>
      </w:pPr>
      <w:r>
        <w:t xml:space="preserve">A fundamental aspect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evaluation of the tone at the top.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foster a culture where quality is recognized as paramount. Our review indicates that the leadership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has implemented policies that emphasize the importance of high-quality audit work over commercial considerations.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has established a Quality Control Partner responsible for overseeing the system of quality control. This is particularly vital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where audit engagements often involve high-profile clients.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confirms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has clear lines of accountability, ensuring that all staff members understand their responsibilities regarding professional standards.</w:t>
      </w:r>
    </w:p>
    <w:bookmarkEnd w:id="23"/>
    <w:bookmarkStart w:id="24" w:name="relevant-ethical-requirements"/>
    <w:p>
      <w:pPr>
        <w:pStyle w:val="Heading2"/>
      </w:pPr>
      <w:r>
        <w:t xml:space="preserve">4. Relevant Ethical Requirements</w:t>
      </w:r>
    </w:p>
    <w:p>
      <w:pPr>
        <w:pStyle w:val="FirstParagraph"/>
      </w:pPr>
      <w:r>
        <w:t xml:space="preserve">Integrity and objectivity are non-negotiable for any</w:t>
      </w:r>
      <w:r>
        <w:t xml:space="preserve"> </w:t>
      </w:r>
      <w:r>
        <w:rPr>
          <w:bCs/>
          <w:b/>
        </w:rPr>
        <w:t xml:space="preserve">Auditor</w:t>
      </w:r>
      <w:r>
        <w:t xml:space="preserve">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scrutinizes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procedures for identifying and addressing threats to independence. In the context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where business relationships can be closely knit, the risk of familiarity threats is significant.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has implemented robust mechanisms to monitor financial interests, family relationships, and long-term associations with clients.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maintains a comprehensive register of independence confirmations from all personnel. This ensures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remains compliant with the ethical standards required by the regulatory bodies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4"/>
    <w:bookmarkStart w:id="25" w:name="Xed529ca1b04c137b45b32787744cc0dc2ea0025"/>
    <w:p>
      <w:pPr>
        <w:pStyle w:val="Heading2"/>
      </w:pPr>
      <w:r>
        <w:t xml:space="preserve">5. Acceptance and Continuance of Client Relationships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evaluates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policies regarding the acceptance of new clients and the continuance of existing relationships.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exercise due diligence to avoid associations with clients that may pose reputational risks or involve non-compliance with local laws.</w:t>
      </w:r>
    </w:p>
    <w:p>
      <w:pPr>
        <w:pStyle w:val="BodyText"/>
      </w:pPr>
      <w:r>
        <w:t xml:space="preserve">Our findings indicate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conducts thorough background checks and assesses the integrity of management before accepting an engagement.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also reviews the complexity of the engagement to ensure they possess the necessary resources and expertise.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concludes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risk assessment procedures are adequate for the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environment.</w:t>
      </w:r>
    </w:p>
    <w:bookmarkEnd w:id="25"/>
    <w:bookmarkStart w:id="26" w:name="human-resources-and-competence"/>
    <w:p>
      <w:pPr>
        <w:pStyle w:val="Heading2"/>
      </w:pPr>
      <w:r>
        <w:t xml:space="preserve">6. Human Resources and Competence</w:t>
      </w:r>
    </w:p>
    <w:p>
      <w:pPr>
        <w:pStyle w:val="FirstParagraph"/>
      </w:pPr>
      <w:r>
        <w:t xml:space="preserve">The quality of an audit is directly linked to the competence of the team.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assesses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human resource policies, including recruitment, training, and performance evaluation. Given the technical demands of auditing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continuous professional development is essential.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has demonstrated a commitment to training its staff on the latest International Financial Reporting Standards (IFRS) and local regulatory updates.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maintains a structured mentorship program, ensuring that junior staff receive adequate guidance. This is crucial for maintaining audit quality in the diverse sectors present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6"/>
    <w:bookmarkStart w:id="27" w:name="engagement-performance-and-monitoring"/>
    <w:p>
      <w:pPr>
        <w:pStyle w:val="Heading2"/>
      </w:pPr>
      <w:r>
        <w:t xml:space="preserve">7. Engagement Performance and Monitoring</w:t>
      </w:r>
    </w:p>
    <w:p>
      <w:pPr>
        <w:pStyle w:val="FirstParagraph"/>
      </w:pPr>
      <w:r>
        <w:t xml:space="preserve">The core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the evaluation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engagement performance processes. This includes planning, supervision, review, and documentation.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ensure that audit evidence is sufficient and appropriate to support the audit opinion.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faces unique challenges such as inventory valuation in manufacturing and revenue recognition in trading.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confirms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employs experienced engagement partners who provide rigorous review of audit files. Furthermore,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has an effective monitoring process to review completed engagements and identify areas for improvement.</w:t>
      </w:r>
    </w:p>
    <w:bookmarkEnd w:id="27"/>
    <w:bookmarkStart w:id="28" w:name="conclusion-and-recommendations"/>
    <w:p>
      <w:pPr>
        <w:pStyle w:val="Heading2"/>
      </w:pPr>
      <w:r>
        <w:t xml:space="preserve">8. Conclusion and Recommendations</w:t>
      </w:r>
    </w:p>
    <w:p>
      <w:pPr>
        <w:pStyle w:val="FirstParagraph"/>
      </w:pPr>
      <w:r>
        <w:t xml:space="preserve">Based on the comprehensive evaluation detailed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it is concluded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has established and maintains a system of quality control that is effective and compliant with professional standards.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demonstrates a strong commitment to quality, which is essential for maintaining trust in the financial markets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p>
      <w:pPr>
        <w:pStyle w:val="BodyText"/>
      </w:pPr>
      <w:r>
        <w:t xml:space="preserve">While the overall assessment is positive,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recommends that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further enhance its documentation practices regarding risk assessments for complex transactions common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Additionally,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should continue to invest in technology to improve audit efficiency and data analytics capabilities.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serves as a testament to the</w:t>
      </w:r>
      <w:r>
        <w:t xml:space="preserve"> </w:t>
      </w:r>
      <w:r>
        <w:rPr>
          <w:bCs/>
          <w:b/>
        </w:rPr>
        <w:t xml:space="preserve">Auditor</w:t>
      </w:r>
      <w:r>
        <w:t xml:space="preserve">'s dedication to professional excellence. By adhering to these standards,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contributes significantly to the transparency and reliability of financial reporting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8"/>
    <w:p>
      <w:pPr>
        <w:pStyle w:val="BodyText"/>
      </w:pPr>
      <w:r>
        <w:rPr>
          <w:bCs/>
          <w:b/>
        </w:rPr>
        <w:t xml:space="preserve">Peer Review Report</w:t>
      </w:r>
      <w:r>
        <w:t xml:space="preserve"> </w:t>
      </w:r>
      <w:r>
        <w:t xml:space="preserve">| Prepared for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Pakistan Karachi</w:t>
      </w:r>
      <w:r>
        <w:br/>
      </w:r>
      <w:r>
        <w:t xml:space="preserve">This document is confidential and intended solely for the use of the addressee.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Audit Firm Compliance - Pakistan Karachi</dc:title>
  <dc:creator/>
  <dc:language>en</dc:language>
  <cp:keywords/>
  <dcterms:created xsi:type="dcterms:W3CDTF">2026-10-10T08:43:02Z</dcterms:created>
  <dcterms:modified xsi:type="dcterms:W3CDTF">2026-10-10T08:43:02Z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