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the Auditor</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Quality Assurance Committee</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adherence to ethical standards of the designated Auditor operating within the financial district of Lima, Peru. The purpose of this review is to ensure that the Auditor’s practices align with the International Standards on Auditing (ISA) as adopted by the Peruvian Institute of Certified Public Accountants (ICAP) and the regulatory requirements set forth by the Superintendencia Nacional de Administración Tributaria (SUNAT).</w:t>
      </w:r>
    </w:p>
    <w:p>
      <w:pPr>
        <w:pStyle w:val="BodyText"/>
      </w:pPr>
      <w:r>
        <w:t xml:space="preserve">The review covers the fiscal year ending December 31, 2022, focusing on audits conducted for mid-sized enterprises in the Lima metropolitan area. The overall assessment indicates a high level of professional diligence, though specific areas regarding local tax regulation updates require attention.</w:t>
      </w:r>
    </w:p>
    <w:bookmarkEnd w:id="21"/>
    <w:bookmarkStart w:id="22" w:name="scope-and-methodology"/>
    <w:p>
      <w:pPr>
        <w:pStyle w:val="Heading2"/>
      </w:pPr>
      <w:r>
        <w:t xml:space="preserve">2. Scope and Methodology</w:t>
      </w:r>
    </w:p>
    <w:p>
      <w:pPr>
        <w:pStyle w:val="FirstParagraph"/>
      </w:pPr>
      <w:r>
        <w:t xml:space="preserve">The scope of this Peer Review Report encompasses a detailed examination of three completed audit files selected at random from the Auditor’s portfolio in Lima. The methodology involved:</w:t>
      </w:r>
    </w:p>
    <w:p>
      <w:pPr>
        <w:numPr>
          <w:ilvl w:val="0"/>
          <w:numId w:val="1001"/>
        </w:numPr>
        <w:pStyle w:val="Compact"/>
      </w:pPr>
      <w:r>
        <w:t xml:space="preserve">Reviewing audit planning documentation and risk assessment strategies.</w:t>
      </w:r>
    </w:p>
    <w:p>
      <w:pPr>
        <w:numPr>
          <w:ilvl w:val="0"/>
          <w:numId w:val="1001"/>
        </w:numPr>
        <w:pStyle w:val="Compact"/>
      </w:pPr>
      <w:r>
        <w:t xml:space="preserve">Evaluating the execution of substantive testing and internal control assessments.</w:t>
      </w:r>
    </w:p>
    <w:p>
      <w:pPr>
        <w:numPr>
          <w:ilvl w:val="0"/>
          <w:numId w:val="1001"/>
        </w:numPr>
        <w:pStyle w:val="Compact"/>
      </w:pPr>
      <w:r>
        <w:t xml:space="preserve">Verifying compliance with the Code of Ethics for Professional Accountants in Peru.</w:t>
      </w:r>
    </w:p>
    <w:p>
      <w:pPr>
        <w:numPr>
          <w:ilvl w:val="0"/>
          <w:numId w:val="1001"/>
        </w:numPr>
        <w:pStyle w:val="Compact"/>
      </w:pPr>
      <w:r>
        <w:t xml:space="preserve">Assessing the clarity and accuracy of the final audit reports issued to clients.</w:t>
      </w:r>
    </w:p>
    <w:p>
      <w:pPr>
        <w:pStyle w:val="FirstParagraph"/>
      </w:pPr>
      <w:r>
        <w:t xml:space="preserve">Special emphasis was placed on the Auditor’s ability to navigate the complex regulatory environment specific to Peru, including recent changes in corporate income tax laws and transfer pricing regulations.</w:t>
      </w:r>
    </w:p>
    <w:bookmarkEnd w:id="22"/>
    <w:bookmarkStart w:id="25" w:name="evaluation-of-technical-competence"/>
    <w:p>
      <w:pPr>
        <w:pStyle w:val="Heading2"/>
      </w:pPr>
      <w:r>
        <w:t xml:space="preserve">3. Evaluation of Technical Competence</w:t>
      </w:r>
    </w:p>
    <w:bookmarkStart w:id="23" w:name="application-of-international-standards"/>
    <w:p>
      <w:pPr>
        <w:pStyle w:val="Heading3"/>
      </w:pPr>
      <w:r>
        <w:t xml:space="preserve">3.1 Application of International Standards</w:t>
      </w:r>
    </w:p>
    <w:p>
      <w:pPr>
        <w:pStyle w:val="FirstParagraph"/>
      </w:pPr>
      <w:r>
        <w:t xml:space="preserve">The Auditor demonstrated a robust understanding of the International Standards on Auditing. The documentation reviewed showed clear evidence of proper risk assessment procedures. The Auditor effectively identified significant risks related to revenue recognition and inventory valuation, which are critical for manufacturing clients in the Callao and Lima industrial zones.</w:t>
      </w:r>
    </w:p>
    <w:bookmarkEnd w:id="23"/>
    <w:bookmarkStart w:id="24" w:name="knowledge-of-local-regulations"/>
    <w:p>
      <w:pPr>
        <w:pStyle w:val="Heading3"/>
      </w:pPr>
      <w:r>
        <w:t xml:space="preserve">3.2 Knowledge of Local Regulations</w:t>
      </w:r>
    </w:p>
    <w:p>
      <w:pPr>
        <w:pStyle w:val="FirstParagraph"/>
      </w:pPr>
      <w:r>
        <w:t xml:space="preserve">A critical aspect of this review was the Auditor’s proficiency with Peruvian tax law. The Auditor showed strong competence in applying the General Tax Law (Ley General Tributaria). However, the review noted a minor delay in updating audit procedures to reflect the latest SUNAT circulars regarding digital invoicing (Facturación Electrónica). While this did not result in a material misstatement, it highlights an area for improvement to ensure the Auditor remains at the forefront of regulatory compliance in Lima.</w:t>
      </w:r>
    </w:p>
    <w:bookmarkEnd w:id="24"/>
    <w:bookmarkEnd w:id="25"/>
    <w:bookmarkStart w:id="26" w:name="ethical-compliance-and-independence"/>
    <w:p>
      <w:pPr>
        <w:pStyle w:val="Heading2"/>
      </w:pPr>
      <w:r>
        <w:t xml:space="preserve">4. Ethical Compliance and Independence</w:t>
      </w:r>
    </w:p>
    <w:p>
      <w:pPr>
        <w:pStyle w:val="FirstParagraph"/>
      </w:pPr>
      <w:r>
        <w:t xml:space="preserve">The Auditor maintained strict adherence to the principles of integrity, objectivity, and professional competence. The review confirmed that the Auditor has no financial or personal interests that could compromise independence with any of the audited entities in Lima.</w:t>
      </w:r>
    </w:p>
    <w:p>
      <w:pPr>
        <w:pStyle w:val="BodyText"/>
      </w:pPr>
      <w:r>
        <w:t xml:space="preserve">Confidentiality protocols were observed rigorously. The Auditor’s office in Lima demonstrated secure data handling practices, ensuring that sensitive financial information of clients was protected in accordance with Peruvian data protection laws.</w:t>
      </w:r>
    </w:p>
    <w:bookmarkEnd w:id="26"/>
    <w:bookmarkStart w:id="27" w:name="quality-of-audit-documentation"/>
    <w:p>
      <w:pPr>
        <w:pStyle w:val="Heading2"/>
      </w:pPr>
      <w:r>
        <w:t xml:space="preserve">5. Quality of Audit Documentation</w:t>
      </w:r>
    </w:p>
    <w:p>
      <w:pPr>
        <w:pStyle w:val="FirstParagraph"/>
      </w:pPr>
      <w:r>
        <w:t xml:space="preserve">The audit working papers were well-organized, comprehensive, and supported the conclusions reached in the audit reports. The documentation provided sufficient evidence to allow an experienced Auditor, having no previous connection with the audit, to understand the nature, timing, and extent of the procedures performed.</w:t>
      </w:r>
    </w:p>
    <w:p>
      <w:pPr>
        <w:pStyle w:val="BodyText"/>
      </w:pPr>
      <w:r>
        <w:t xml:space="preserve">Specifically, the documentation regarding the verification of cash balances and bank reconciliations with Peruvian financial institutions was thorough and accurate.</w:t>
      </w:r>
    </w:p>
    <w:bookmarkEnd w:id="27"/>
    <w:bookmarkStart w:id="28" w:name="findings-and-recommendations"/>
    <w:p>
      <w:pPr>
        <w:pStyle w:val="Heading2"/>
      </w:pPr>
      <w:r>
        <w:t xml:space="preserve">6. Findings and Recommendations</w:t>
      </w:r>
    </w:p>
    <w:p>
      <w:pPr>
        <w:pStyle w:val="FirstParagraph"/>
      </w:pPr>
      <w:r>
        <w:t xml:space="preserve">Based on the evidence gathered during this Peer Review Report, the following findings and recommendations are presented:</w:t>
      </w:r>
    </w:p>
    <w:p>
      <w:pPr>
        <w:numPr>
          <w:ilvl w:val="0"/>
          <w:numId w:val="1002"/>
        </w:numPr>
        <w:pStyle w:val="Compact"/>
      </w:pPr>
      <w:r>
        <w:rPr>
          <w:bCs/>
          <w:b/>
        </w:rPr>
        <w:t xml:space="preserve">Positive Finding:</w:t>
      </w:r>
      <w:r>
        <w:t xml:space="preserve"> </w:t>
      </w:r>
      <w:r>
        <w:t xml:space="preserve">The Auditor exhibits excellent analytical skills and a deep understanding of the economic context of Lima, Peru, allowing for effective risk-based auditing.</w:t>
      </w:r>
    </w:p>
    <w:p>
      <w:pPr>
        <w:numPr>
          <w:ilvl w:val="0"/>
          <w:numId w:val="1002"/>
        </w:numPr>
        <w:pStyle w:val="Compact"/>
      </w:pPr>
      <w:r>
        <w:rPr>
          <w:bCs/>
          <w:b/>
        </w:rPr>
        <w:t xml:space="preserve">Area for Improvement:</w:t>
      </w:r>
      <w:r>
        <w:t xml:space="preserve"> </w:t>
      </w:r>
      <w:r>
        <w:t xml:space="preserve">The Auditor should implement a more rigorous continuous education program focused on the rapid updates to SUNAT regulations and digital tax compliance tools.</w:t>
      </w:r>
    </w:p>
    <w:p>
      <w:pPr>
        <w:numPr>
          <w:ilvl w:val="0"/>
          <w:numId w:val="1002"/>
        </w:numPr>
        <w:pStyle w:val="Compact"/>
      </w:pPr>
      <w:r>
        <w:rPr>
          <w:bCs/>
          <w:b/>
        </w:rPr>
        <w:t xml:space="preserve">Recommendation:</w:t>
      </w:r>
      <w:r>
        <w:t xml:space="preserve"> </w:t>
      </w:r>
      <w:r>
        <w:t xml:space="preserve">It is recommended that the Auditor enhance the documentation of internal control testing for IT systems, as many clients in Lima are migrating to cloud-based accounting software.</w:t>
      </w:r>
    </w:p>
    <w:bookmarkEnd w:id="28"/>
    <w:bookmarkStart w:id="29" w:name="conclusion"/>
    <w:p>
      <w:pPr>
        <w:pStyle w:val="Heading2"/>
      </w:pPr>
      <w:r>
        <w:t xml:space="preserve">7. Conclusion</w:t>
      </w:r>
    </w:p>
    <w:p>
      <w:pPr>
        <w:pStyle w:val="FirstParagraph"/>
      </w:pPr>
      <w:r>
        <w:t xml:space="preserve">In conclusion, this Peer Review Report confirms that the Auditor operates at a professional standard that meets the expectations of the auditing profession in Peru. The Auditor’s work in Lima contributes positively to the reliability of financial reporting in the region. With the implementation of the recommended improvements regarding regulatory updates and IT audit documentation, the Auditor will further strengthen their practice and ensure continued compliance with both international and local standards.</w:t>
      </w:r>
    </w:p>
    <w:p>
      <w:pPr>
        <w:pStyle w:val="BodyText"/>
      </w:pPr>
      <w:r>
        <w:t xml:space="preserve">The reviewing committee is satisfied that the Auditor is competent to provide assurance services to the public in Lima, Peru.</w:t>
      </w:r>
    </w:p>
    <w:bookmarkEnd w:id="29"/>
    <w:p>
      <w:pPr>
        <w:pStyle w:val="BodyText"/>
      </w:pPr>
      <w:r>
        <w:rPr>
          <w:bCs/>
          <w:b/>
        </w:rPr>
        <w:t xml:space="preserve">Reviewed By:</w:t>
      </w:r>
    </w:p>
    <w:p>
      <w:pPr>
        <w:pStyle w:val="BodyText"/>
      </w:pPr>
      <w:r>
        <w:t xml:space="preserve">Senior Peer Reviewer</w:t>
      </w:r>
    </w:p>
    <w:p>
      <w:pPr>
        <w:pStyle w:val="BodyText"/>
      </w:pPr>
      <w:r>
        <w:t xml:space="preserve">Independent Quality Assurance Committee</w:t>
      </w:r>
    </w:p>
    <w:p>
      <w:pPr>
        <w:pStyle w:val="BodyText"/>
      </w:pPr>
      <w:r>
        <w:rPr>
          <w:bCs/>
          <w:b/>
        </w:rPr>
        <w:t xml:space="preserve">Acknowledged By:</w:t>
      </w:r>
    </w:p>
    <w:p>
      <w:pPr>
        <w:pStyle w:val="BodyText"/>
      </w:pPr>
      <w:r>
        <w:t xml:space="preserve">The Auditor</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 - Lima, Peru</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