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w:t>
      </w:r>
      <w:r>
        <w:t xml:space="preserve"> </w:t>
      </w:r>
      <w:r>
        <w:t xml:space="preserve">Firm</w:t>
      </w:r>
      <w:r>
        <w:t xml:space="preserve"> </w:t>
      </w:r>
      <w:r>
        <w:t xml:space="preserve">Compliance</w:t>
      </w:r>
      <w:r>
        <w:t xml:space="preserve"> </w:t>
      </w:r>
      <w:r>
        <w:t xml:space="preserve">in</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t xml:space="preserve">Independent Assessment of Quality Control Systems</w:t>
      </w:r>
    </w:p>
    <w:bookmarkEnd w:id="20"/>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p>
      <w:pPr>
        <w:pStyle w:val="BodyText"/>
      </w:pPr>
      <w:r>
        <w:rPr>
          <w:bCs/>
          <w:b/>
        </w:rPr>
        <w:t xml:space="preserve">Subject Firm:</w:t>
      </w:r>
      <w:r>
        <w:t xml:space="preserve"> </w:t>
      </w:r>
      <w:r>
        <w:t xml:space="preserve">[Name of Audit Firm]</w:t>
      </w:r>
    </w:p>
    <w:p>
      <w:pPr>
        <w:pStyle w:val="BodyText"/>
      </w:pPr>
      <w:r>
        <w:rPr>
          <w:bCs/>
          <w:b/>
        </w:rPr>
        <w:t xml:space="preserve">Jurisdiction:</w:t>
      </w:r>
      <w:r>
        <w:t xml:space="preserve"> </w:t>
      </w:r>
      <w:r>
        <w:t xml:space="preserve">Qatar Doha</w:t>
      </w:r>
    </w:p>
    <w:p>
      <w:pPr>
        <w:pStyle w:val="BodyText"/>
      </w:pPr>
      <w:r>
        <w:rPr>
          <w:bCs/>
          <w:b/>
        </w:rPr>
        <w:t xml:space="preserve">Review Team Lead:</w:t>
      </w:r>
      <w:r>
        <w:t xml:space="preserve"> </w:t>
      </w:r>
      <w:r>
        <w:t xml:space="preserve">[Name of Reviewer]</w:t>
      </w:r>
    </w:p>
    <w:p>
      <w:pPr>
        <w:pStyle w:val="BodyText"/>
      </w:pPr>
      <w:r>
        <w:rPr>
          <w:bCs/>
          <w:b/>
        </w:rPr>
        <w:t xml:space="preserve">Reference Standard:</w:t>
      </w:r>
      <w:r>
        <w:t xml:space="preserve"> </w:t>
      </w:r>
      <w:r>
        <w:t xml:space="preserve">ISQM 1 &amp; Qatar Financial Centre (QFC) Rules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details the findings of an independent evaluation conducted on the quality control systems of the subject</w:t>
      </w:r>
      <w:r>
        <w:t xml:space="preserve"> </w:t>
      </w:r>
      <w:r>
        <w:rPr>
          <w:bCs/>
          <w:b/>
        </w:rPr>
        <w:t xml:space="preserve">Auditor</w:t>
      </w:r>
      <w:r>
        <w:t xml:space="preserve"> </w:t>
      </w:r>
      <w:r>
        <w:t xml:space="preserve">firm operating within the financial hub of</w:t>
      </w:r>
      <w:r>
        <w:t xml:space="preserve"> </w:t>
      </w:r>
      <w:r>
        <w:rPr>
          <w:bCs/>
          <w:b/>
        </w:rPr>
        <w:t xml:space="preserve">Qatar Doha</w:t>
      </w:r>
      <w:r>
        <w:t xml:space="preserve">. The primary objective of this review was to determine whether the firm’s system of quality control is suitably designed and effectively implemented in accordance with International Standards on Quality Management (ISQM 1) and the specific regulatory requirements mandated by the Qatar Financial Centre Regulatory Authority (QFCRA).</w:t>
      </w:r>
    </w:p>
    <w:p>
      <w:pPr>
        <w:pStyle w:val="BodyText"/>
      </w:pPr>
      <w:r>
        <w:t xml:space="preserve">The review team examined the firm's policies regarding leadership responsibilities, relevant ethical requirements, acceptance and continuance of client relationships, engagement performance, and resources. The assessment confirms that the</w:t>
      </w:r>
      <w:r>
        <w:t xml:space="preserve"> </w:t>
      </w:r>
      <w:r>
        <w:rPr>
          <w:bCs/>
          <w:b/>
        </w:rPr>
        <w:t xml:space="preserve">Auditor</w:t>
      </w:r>
      <w:r>
        <w:t xml:space="preserve"> </w:t>
      </w:r>
      <w:r>
        <w:t xml:space="preserve">maintains a robust framework aligned with the high standards expected in the</w:t>
      </w:r>
      <w:r>
        <w:t xml:space="preserve"> </w:t>
      </w:r>
      <w:r>
        <w:rPr>
          <w:bCs/>
          <w:b/>
        </w:rPr>
        <w:t xml:space="preserve">Qatar Doha</w:t>
      </w:r>
      <w:r>
        <w:t xml:space="preserve"> </w:t>
      </w:r>
      <w:r>
        <w:t xml:space="preserve">market, though specific areas for enhancement have been identified to ensure continued compliance and operational excellence.</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encompassed a comprehensive analysis of the firm's quality control manual and a substantive review of a sample of audit files. The methodology involved interviews with key personnel, including the Engagement Quality Control Reviewers (EQCR) and the Chief Audit Partner.</w:t>
      </w:r>
    </w:p>
    <w:p>
      <w:pPr>
        <w:pStyle w:val="BodyText"/>
      </w:pPr>
      <w:r>
        <w:t xml:space="preserve">Given the strategic importance of</w:t>
      </w:r>
      <w:r>
        <w:t xml:space="preserve"> </w:t>
      </w:r>
      <w:r>
        <w:rPr>
          <w:bCs/>
          <w:b/>
        </w:rPr>
        <w:t xml:space="preserve">Qatar Doha</w:t>
      </w:r>
      <w:r>
        <w:t xml:space="preserve"> </w:t>
      </w:r>
      <w:r>
        <w:t xml:space="preserve">as a global financial center, the review placed particular emphasis on the firm's adherence to local anti-money laundering (AML) regulations and the Code of Professional Conduct. The review team selected a sample of engagements representing various sectors prevalent in the region, including banking, construction, and energy, to ensure the</w:t>
      </w:r>
      <w:r>
        <w:t xml:space="preserve"> </w:t>
      </w:r>
      <w:r>
        <w:rPr>
          <w:bCs/>
          <w:b/>
        </w:rPr>
        <w:t xml:space="preserve">Auditor</w:t>
      </w:r>
      <w:r>
        <w:t xml:space="preserve">'s competence across the diverse economic landscape of Qatar.</w:t>
      </w:r>
    </w:p>
    <w:bookmarkEnd w:id="22"/>
    <w:bookmarkStart w:id="23" w:name="Xf37057db04d39080f6a776f839cfe4f37d4b60e"/>
    <w:p>
      <w:pPr>
        <w:pStyle w:val="Heading2"/>
      </w:pPr>
      <w:r>
        <w:t xml:space="preserve">3. Evaluation of Leadership and Ethical Requirements</w:t>
      </w:r>
    </w:p>
    <w:p>
      <w:pPr>
        <w:pStyle w:val="FirstParagraph"/>
      </w:pPr>
      <w:r>
        <w:t xml:space="preserve">The review assessed the firm's culture regarding quality and independence. It was observed that the</w:t>
      </w:r>
      <w:r>
        <w:t xml:space="preserve"> </w:t>
      </w:r>
      <w:r>
        <w:rPr>
          <w:bCs/>
          <w:b/>
        </w:rPr>
        <w:t xml:space="preserve">Auditor</w:t>
      </w:r>
      <w:r>
        <w:t xml:space="preserve"> </w:t>
      </w:r>
      <w:r>
        <w:t xml:space="preserve">leadership in</w:t>
      </w:r>
      <w:r>
        <w:t xml:space="preserve"> </w:t>
      </w:r>
      <w:r>
        <w:rPr>
          <w:bCs/>
          <w:b/>
        </w:rPr>
        <w:t xml:space="preserve">Qatar Doha</w:t>
      </w:r>
      <w:r>
        <w:t xml:space="preserve"> </w:t>
      </w:r>
      <w:r>
        <w:t xml:space="preserve">actively promotes the principle that quality is paramount in the performance of professional services. The firm has established clear policies for identifying and addressing threats to independence, which is critical given the interconnected nature of business in the region.</w:t>
      </w:r>
    </w:p>
    <w:p>
      <w:pPr>
        <w:pStyle w:val="BodyText"/>
      </w:pPr>
      <w:r>
        <w:t xml:space="preserve">The</w:t>
      </w:r>
      <w:r>
        <w:t xml:space="preserve"> </w:t>
      </w:r>
      <w:r>
        <w:rPr>
          <w:bCs/>
          <w:b/>
        </w:rPr>
        <w:t xml:space="preserve">Peer Review Report</w:t>
      </w:r>
      <w:r>
        <w:t xml:space="preserve"> </w:t>
      </w:r>
      <w:r>
        <w:t xml:space="preserve">notes that the firm maintains an up-to-date register of financial interests and close business relationships. However, the review team recommends strengthening the monitoring of non-audit services provided to audit clients to ensure strict compliance with the QFCRA's independence guidelines.</w:t>
      </w:r>
    </w:p>
    <w:bookmarkEnd w:id="23"/>
    <w:bookmarkStart w:id="24" w:name="X5c6d9124ea17ac944720506c915a6cf94cceff3"/>
    <w:p>
      <w:pPr>
        <w:pStyle w:val="Heading2"/>
      </w:pPr>
      <w:r>
        <w:t xml:space="preserve">4. Engagement Performance and Technical Standards</w:t>
      </w:r>
    </w:p>
    <w:p>
      <w:pPr>
        <w:pStyle w:val="FirstParagraph"/>
      </w:pPr>
      <w:r>
        <w:t xml:space="preserve">A core component of this</w:t>
      </w:r>
      <w:r>
        <w:t xml:space="preserve"> </w:t>
      </w:r>
      <w:r>
        <w:rPr>
          <w:bCs/>
          <w:b/>
        </w:rPr>
        <w:t xml:space="preserve">Peer Review Report</w:t>
      </w:r>
      <w:r>
        <w:t xml:space="preserve"> </w:t>
      </w:r>
      <w:r>
        <w:t xml:space="preserve">is the evaluation of how the</w:t>
      </w:r>
      <w:r>
        <w:t xml:space="preserve"> </w:t>
      </w:r>
      <w:r>
        <w:rPr>
          <w:bCs/>
          <w:b/>
        </w:rPr>
        <w:t xml:space="preserve">Auditor</w:t>
      </w:r>
      <w:r>
        <w:t xml:space="preserve"> </w:t>
      </w:r>
      <w:r>
        <w:t xml:space="preserve">executes its engagements. The review team examined the planning, execution, and reporting phases of selected audit files. The findings indicate that the firm generally applies International Standards on Auditing (ISAs) effectively.</w:t>
      </w:r>
    </w:p>
    <w:p>
      <w:pPr>
        <w:pStyle w:val="BodyText"/>
      </w:pPr>
      <w:r>
        <w:t xml:space="preserve">In the context of</w:t>
      </w:r>
      <w:r>
        <w:t xml:space="preserve"> </w:t>
      </w:r>
      <w:r>
        <w:rPr>
          <w:bCs/>
          <w:b/>
        </w:rPr>
        <w:t xml:space="preserve">Qatar Doha</w:t>
      </w:r>
      <w:r>
        <w:t xml:space="preserve">, where complex financial instruments and joint ventures are common, the</w:t>
      </w:r>
      <w:r>
        <w:t xml:space="preserve"> </w:t>
      </w:r>
      <w:r>
        <w:rPr>
          <w:bCs/>
          <w:b/>
        </w:rPr>
        <w:t xml:space="preserve">Auditor</w:t>
      </w:r>
      <w:r>
        <w:t xml:space="preserve"> </w:t>
      </w:r>
      <w:r>
        <w:t xml:space="preserve">demonstrated a high level of technical proficiency. The documentation of risk assessments was thorough, and the work performed on significant risks was well-supported by evidence. The Engagement Quality Control Reviews (EQCR) were conducted timely and provided valuable insights, ensuring that the final audit opinion was appropriate.</w:t>
      </w:r>
    </w:p>
    <w:bookmarkEnd w:id="24"/>
    <w:bookmarkStart w:id="25" w:name="resources-and-human-capital"/>
    <w:p>
      <w:pPr>
        <w:pStyle w:val="Heading2"/>
      </w:pPr>
      <w:r>
        <w:t xml:space="preserve">5. Resources and Human Capital</w:t>
      </w:r>
    </w:p>
    <w:p>
      <w:pPr>
        <w:pStyle w:val="FirstParagraph"/>
      </w:pPr>
      <w:r>
        <w:t xml:space="preserve">The review evaluated the firm's ability to attract, develop, and retain competent staff. The</w:t>
      </w:r>
      <w:r>
        <w:t xml:space="preserve"> </w:t>
      </w:r>
      <w:r>
        <w:rPr>
          <w:bCs/>
          <w:b/>
        </w:rPr>
        <w:t xml:space="preserve">Auditor</w:t>
      </w:r>
      <w:r>
        <w:t xml:space="preserve"> </w:t>
      </w:r>
      <w:r>
        <w:t xml:space="preserve">has implemented a structured training program that includes updates on local Qatari commercial laws and international accounting standards. This is vital for maintaining the firm's reputation in</w:t>
      </w:r>
      <w:r>
        <w:t xml:space="preserve"> </w:t>
      </w:r>
      <w:r>
        <w:rPr>
          <w:bCs/>
          <w:b/>
        </w:rPr>
        <w:t xml:space="preserve">Qatar Doha</w:t>
      </w:r>
      <w:r>
        <w:t xml:space="preserve">.</w:t>
      </w:r>
    </w:p>
    <w:p>
      <w:pPr>
        <w:pStyle w:val="BodyText"/>
      </w:pPr>
      <w:r>
        <w:t xml:space="preserve">The</w:t>
      </w:r>
      <w:r>
        <w:t xml:space="preserve"> </w:t>
      </w:r>
      <w:r>
        <w:rPr>
          <w:bCs/>
          <w:b/>
        </w:rPr>
        <w:t xml:space="preserve">Peer Review Report</w:t>
      </w:r>
      <w:r>
        <w:t xml:space="preserve"> </w:t>
      </w:r>
      <w:r>
        <w:t xml:space="preserve">highlights that while the firm has sufficient technical resources, there is a need to enhance the availability of specialized experts for niche areas such as cybersecurity audits and ESG (Environmental, Social, and Governance) reporting, which are increasingly demanded by stakeholders in the region.</w:t>
      </w:r>
    </w:p>
    <w:bookmarkEnd w:id="25"/>
    <w:bookmarkStart w:id="26" w:name="findings-and-recommendations"/>
    <w:p>
      <w:pPr>
        <w:pStyle w:val="Heading2"/>
      </w:pPr>
      <w:r>
        <w:t xml:space="preserve">6. Findings and Recommendations</w:t>
      </w:r>
    </w:p>
    <w:p>
      <w:pPr>
        <w:pStyle w:val="FirstParagraph"/>
      </w:pPr>
      <w:r>
        <w:rPr>
          <w:bCs/>
          <w:b/>
        </w:rPr>
        <w:t xml:space="preserve">Overall Conclusion:</w:t>
      </w:r>
      <w:r>
        <w:t xml:space="preserve"> </w:t>
      </w:r>
      <w:r>
        <w:t xml:space="preserve">The system of quality control is suitably designed and effectively implemented. No material deficiencies were identified that would impair the</w:t>
      </w:r>
      <w:r>
        <w:t xml:space="preserve"> </w:t>
      </w:r>
      <w:r>
        <w:rPr>
          <w:bCs/>
          <w:b/>
        </w:rPr>
        <w:t xml:space="preserve">Auditor</w:t>
      </w:r>
      <w:r>
        <w:t xml:space="preserve">'s ability to comply with professional standards in</w:t>
      </w:r>
      <w:r>
        <w:t xml:space="preserve"> </w:t>
      </w:r>
      <w:r>
        <w:rPr>
          <w:bCs/>
          <w:b/>
        </w:rPr>
        <w:t xml:space="preserve">Qatar Doha</w:t>
      </w:r>
      <w:r>
        <w:t xml:space="preserve">.</w:t>
      </w:r>
    </w:p>
    <w:p>
      <w:pPr>
        <w:pStyle w:val="BodyText"/>
      </w:pPr>
      <w:r>
        <w:t xml:space="preserve">Despite the positive overall assessment, the</w:t>
      </w:r>
      <w:r>
        <w:t xml:space="preserve"> </w:t>
      </w:r>
      <w:r>
        <w:rPr>
          <w:bCs/>
          <w:b/>
        </w:rPr>
        <w:t xml:space="preserve">Peer Review Report</w:t>
      </w:r>
      <w:r>
        <w:t xml:space="preserve"> </w:t>
      </w:r>
      <w:r>
        <w:t xml:space="preserve">identifies the following recommendations for improvement:</w:t>
      </w:r>
    </w:p>
    <w:p>
      <w:pPr>
        <w:numPr>
          <w:ilvl w:val="0"/>
          <w:numId w:val="1001"/>
        </w:numPr>
        <w:pStyle w:val="Compact"/>
      </w:pPr>
      <w:r>
        <w:rPr>
          <w:bCs/>
          <w:b/>
        </w:rPr>
        <w:t xml:space="preserve">Enhanced Monitoring:</w:t>
      </w:r>
      <w:r>
        <w:t xml:space="preserve"> </w:t>
      </w:r>
      <w:r>
        <w:t xml:space="preserve">Implement more frequent internal inspections of audit files to ensure consistent application of quality control policies across all offices in</w:t>
      </w:r>
      <w:r>
        <w:t xml:space="preserve"> </w:t>
      </w:r>
      <w:r>
        <w:rPr>
          <w:bCs/>
          <w:b/>
        </w:rPr>
        <w:t xml:space="preserve">Qatar Doha</w:t>
      </w:r>
      <w:r>
        <w:t xml:space="preserve">.</w:t>
      </w:r>
    </w:p>
    <w:p>
      <w:pPr>
        <w:numPr>
          <w:ilvl w:val="0"/>
          <w:numId w:val="1001"/>
        </w:numPr>
        <w:pStyle w:val="Compact"/>
      </w:pPr>
      <w:r>
        <w:rPr>
          <w:bCs/>
          <w:b/>
        </w:rPr>
        <w:t xml:space="preserve">Documentation Standards:</w:t>
      </w:r>
      <w:r>
        <w:t xml:space="preserve"> </w:t>
      </w:r>
      <w:r>
        <w:t xml:space="preserve">Standardize the documentation templates for risk assessment procedures to ensure clarity and completeness, facilitating smoother external reviews.</w:t>
      </w:r>
    </w:p>
    <w:p>
      <w:pPr>
        <w:numPr>
          <w:ilvl w:val="0"/>
          <w:numId w:val="1001"/>
        </w:numPr>
        <w:pStyle w:val="Compact"/>
      </w:pPr>
      <w:r>
        <w:rPr>
          <w:bCs/>
          <w:b/>
        </w:rPr>
        <w:t xml:space="preserve">Regulatory Updates:</w:t>
      </w:r>
      <w:r>
        <w:t xml:space="preserve"> </w:t>
      </w:r>
      <w:r>
        <w:t xml:space="preserve">Establish a dedicated task force to monitor and disseminate changes in QFCRA regulations and Qatar Central Bank guidelines to all audit staff promptly.</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serves as a testament to the</w:t>
      </w:r>
      <w:r>
        <w:t xml:space="preserve"> </w:t>
      </w:r>
      <w:r>
        <w:rPr>
          <w:bCs/>
          <w:b/>
        </w:rPr>
        <w:t xml:space="preserve">Auditor</w:t>
      </w:r>
      <w:r>
        <w:t xml:space="preserve">'s commitment to maintaining high professional standards. By addressing the recommendations outlined herein, the firm will further strengthen its quality control system, ensuring continued trust and confidence from clients and regulators in</w:t>
      </w:r>
      <w:r>
        <w:t xml:space="preserve"> </w:t>
      </w:r>
      <w:r>
        <w:rPr>
          <w:bCs/>
          <w:b/>
        </w:rPr>
        <w:t xml:space="preserve">Qatar Doha</w:t>
      </w:r>
      <w:r>
        <w:t xml:space="preserve">. The review team commends the firm for its cooperation and transparency throughout the process.</w:t>
      </w:r>
    </w:p>
    <w:p>
      <w:pPr>
        <w:pStyle w:val="BodyText"/>
      </w:pPr>
      <w:r>
        <w:rPr>
          <w:bCs/>
          <w:b/>
        </w:rPr>
        <w:t xml:space="preserve">Lead Reviewer Signature:</w:t>
      </w:r>
      <w:r>
        <w:br/>
      </w:r>
      <w:r>
        <w:t xml:space="preserve">__________________________</w:t>
      </w:r>
      <w:r>
        <w:br/>
      </w:r>
      <w:r>
        <w:t xml:space="preserve">[Name]</w:t>
      </w:r>
      <w:r>
        <w:br/>
      </w:r>
      <w:r>
        <w:t xml:space="preserve">[Title]</w:t>
      </w:r>
    </w:p>
    <w:p>
      <w:pPr>
        <w:pStyle w:val="BodyText"/>
      </w:pPr>
      <w:r>
        <w:rPr>
          <w:bCs/>
          <w:b/>
        </w:rPr>
        <w:t xml:space="preserve">Auditor Partner Acknowledgement:</w:t>
      </w:r>
      <w:r>
        <w:br/>
      </w:r>
      <w:r>
        <w:t xml:space="preserve">__________________________</w:t>
      </w:r>
      <w:r>
        <w:br/>
      </w:r>
      <w:r>
        <w:t xml:space="preserve">[Name]</w:t>
      </w:r>
      <w:r>
        <w:br/>
      </w:r>
      <w:r>
        <w:t xml:space="preserve">Managing Partner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 Firm Compliance in Qatar Doha</dc:title>
  <dc:creator/>
  <dc:language>en</dc:language>
  <cp:keywords/>
  <dcterms:created xsi:type="dcterms:W3CDTF">2026-10-10T06:11:00Z</dcterms:created>
  <dcterms:modified xsi:type="dcterms:W3CDTF">2026-10-10T06:11:00Z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