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Audit</w:t>
      </w:r>
      <w:r>
        <w:t xml:space="preserve"> </w:t>
      </w:r>
      <w:r>
        <w:t xml:space="preserve">Firm</w:t>
      </w:r>
      <w:r>
        <w:t xml:space="preserve"> </w:t>
      </w:r>
      <w:r>
        <w:t xml:space="preserve">Compliance</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peer-review-report"/>
    <w:p>
      <w:pPr>
        <w:pStyle w:val="Heading1"/>
      </w:pPr>
      <w:r>
        <w:t xml:space="preserve">Peer Review Report</w:t>
      </w:r>
    </w:p>
    <w:p>
      <w:pPr>
        <w:pStyle w:val="FirstParagraph"/>
      </w:pPr>
      <w:r>
        <w:t xml:space="preserve">Subject Firm:</w:t>
      </w:r>
    </w:p>
    <w:p>
      <w:pPr>
        <w:pStyle w:val="BodyText"/>
      </w:pPr>
      <w:r>
        <w:t xml:space="preserve">[Name of Audit Firm]</w:t>
      </w:r>
    </w:p>
    <w:p>
      <w:pPr>
        <w:pStyle w:val="BodyText"/>
      </w:pPr>
      <w:r>
        <w:t xml:space="preserve">Location:</w:t>
      </w:r>
    </w:p>
    <w:p>
      <w:pPr>
        <w:pStyle w:val="BodyText"/>
      </w:pPr>
      <w:r>
        <w:t xml:space="preserve">Jeddah, Saudi Arabia</w:t>
      </w:r>
    </w:p>
    <w:p>
      <w:pPr>
        <w:pStyle w:val="BodyText"/>
      </w:pPr>
      <w:r>
        <w:t xml:space="preserve">Review Period:</w:t>
      </w:r>
    </w:p>
    <w:p>
      <w:pPr>
        <w:pStyle w:val="BodyText"/>
      </w:pPr>
      <w:r>
        <w:t xml:space="preserve">January 1, 2023 – December 31, 2023</w:t>
      </w:r>
    </w:p>
    <w:p>
      <w:pPr>
        <w:pStyle w:val="BodyText"/>
      </w:pPr>
      <w:r>
        <w:t xml:space="preserve">Report Date:</w:t>
      </w:r>
    </w:p>
    <w:p>
      <w:pPr>
        <w:pStyle w:val="BodyText"/>
      </w:pPr>
      <w:r>
        <w:t xml:space="preserve">March 15, 2024</w:t>
      </w:r>
    </w:p>
    <w:bookmarkStart w:id="20" w:name="introduction-and-scope"/>
    <w:p>
      <w:pPr>
        <w:pStyle w:val="Heading2"/>
      </w:pPr>
      <w:r>
        <w:t xml:space="preserve">1. Introduction and Scope</w:t>
      </w:r>
    </w:p>
    <w:p>
      <w:pPr>
        <w:pStyle w:val="FirstParagraph"/>
      </w:pPr>
      <w:r>
        <w:t xml:space="preserve">This Peer Review Report has been prepared in accordance with the requirements set forth by the Saudi Organization for Certified Public Accountants (SOCPA) and the relevant standards of the Public Authority for Insurance and Private Pensions (Pension Authority). The primary objective of this review is to evaluate the quality of the audit work performed by the Auditor firm located in Saudi Arabia Jeddah. Specifically, this report assesses whether the firm's audit practices align with the International Standards on Auditing (ISAs) as adopted by SOCPA, as well as the firm's adherence to the Code of Ethics for Professional Accountants.</w:t>
      </w:r>
    </w:p>
    <w:p>
      <w:pPr>
        <w:pStyle w:val="BodyText"/>
      </w:pPr>
      <w:r>
        <w:t xml:space="preserve">The review covers a sample of audit engagements conducted during the specified review period. The scope includes an examination of the firm's quality control systems, the adequacy of audit documentation, the appropriateness of audit conclusions, and the firm's compliance with local regulatory requirements specific to the Kingdom of Saudi Arabia. The review team consisted of independent peer reviewers appointed to ensure objectivity and impartiality throughout the assessment process.</w:t>
      </w:r>
    </w:p>
    <w:bookmarkEnd w:id="20"/>
    <w:bookmarkStart w:id="21" w:name="regulatory-context-saudi-arabia-jeddah"/>
    <w:p>
      <w:pPr>
        <w:pStyle w:val="Heading2"/>
      </w:pPr>
      <w:r>
        <w:t xml:space="preserve">2. Regulatory Context: Saudi Arabia Jeddah</w:t>
      </w:r>
    </w:p>
    <w:p>
      <w:pPr>
        <w:pStyle w:val="FirstParagraph"/>
      </w:pPr>
      <w:r>
        <w:t xml:space="preserve">The business environment in Saudi Arabia Jeddah is dynamic and heavily regulated, particularly regarding financial reporting and corporate governance. As a major commercial hub, Jeddah hosts a diverse range of entities, from large multinational corporations to small and medium-sized enterprises (SMEs). Consequently, the Auditor operating in this region must possess a deep understanding of the local legal framework, including the Companies Law, the Zakat, Tax and Customs Authority (ZATCA) regulations, and the Saudi Corporate Governance Manual.</w:t>
      </w:r>
    </w:p>
    <w:p>
      <w:pPr>
        <w:pStyle w:val="BodyText"/>
      </w:pPr>
      <w:r>
        <w:t xml:space="preserve">This Peer Review Report places significant emphasis on the firm's ability to navigate these specific regulatory landscapes. The review team evaluated whether the Auditor in Saudi Arabia Jeddah adequately considered the implications of Vision 2030 initiatives on their clients' financial statements. Furthermore, the review assessed the firm's proficiency in handling Zakat calculations and corporate income tax provisions, which are critical components of financial audits in the Kingdom. The expectation is that an Auditor in this jurisdiction must not only apply international standards but also adapt them to the nuances of the Saudi regulatory environment.</w:t>
      </w:r>
    </w:p>
    <w:bookmarkEnd w:id="21"/>
    <w:bookmarkStart w:id="22" w:name="evaluation-of-quality-control-systems"/>
    <w:p>
      <w:pPr>
        <w:pStyle w:val="Heading2"/>
      </w:pPr>
      <w:r>
        <w:t xml:space="preserve">3. Evaluation of Quality Control Systems</w:t>
      </w:r>
    </w:p>
    <w:p>
      <w:pPr>
        <w:pStyle w:val="FirstParagraph"/>
      </w:pPr>
      <w:r>
        <w:t xml:space="preserve">A robust quality control system is the foundation of a reliable audit practice. The review team examined the firm's policies and procedures regarding leadership responsibilities, ethical requirements, acceptance and continuance of client relationships, human resources, engagement performance, and monitoring.</w:t>
      </w:r>
    </w:p>
    <w:p>
      <w:pPr>
        <w:pStyle w:val="BodyText"/>
      </w:pPr>
      <w:r>
        <w:t xml:space="preserve">The findings indicate that the firm has established a formal quality control manual that references ISQC 1 (International Standard on Quality Control). However, the review identified areas for improvement in the monitoring component. While the firm conducts internal inspections, the documentation of remedial actions taken following identified deficiencies was inconsistent. For an Auditor in Saudi Arabia Jeddah, where regulatory scrutiny is intensifying, it is imperative that the firm demonstrates a closed-loop system for quality improvement. The firm must ensure that all staff members are regularly trained on updates to SOCPA standards and local tax laws to maintain high-quality output.</w:t>
      </w:r>
    </w:p>
    <w:bookmarkEnd w:id="22"/>
    <w:bookmarkStart w:id="26" w:name="assessment-of-audit-engagements"/>
    <w:p>
      <w:pPr>
        <w:pStyle w:val="Heading2"/>
      </w:pPr>
      <w:r>
        <w:t xml:space="preserve">4. Assessment of Audit Engagements</w:t>
      </w:r>
    </w:p>
    <w:p>
      <w:pPr>
        <w:pStyle w:val="FirstParagraph"/>
      </w:pPr>
      <w:r>
        <w:t xml:space="preserve">The core of this Peer Review Report involves the detailed examination of selected audit files. The review team assessed the planning, execution, and reporting phases of these engagements.</w:t>
      </w:r>
    </w:p>
    <w:bookmarkStart w:id="23" w:name="audit-planning-and-risk-assessment"/>
    <w:p>
      <w:pPr>
        <w:pStyle w:val="Heading3"/>
      </w:pPr>
      <w:r>
        <w:t xml:space="preserve">4.1 Audit Planning and Risk Assessment</w:t>
      </w:r>
    </w:p>
    <w:p>
      <w:pPr>
        <w:pStyle w:val="FirstParagraph"/>
      </w:pPr>
      <w:r>
        <w:t xml:space="preserve">The review found that the Auditor generally performed adequate risk assessments. The firm demonstrated an understanding of the clients' business environments and identified significant risks of material misstatement. However, in some instances, the linkage between identified risks and the specific audit procedures designed to address them was not sufficiently documented. The Auditor must ensure that the audit strategy is responsive to the risks inherent in the Saudi market, such as related-party transactions and revenue recognition complexities.</w:t>
      </w:r>
    </w:p>
    <w:bookmarkEnd w:id="23"/>
    <w:bookmarkStart w:id="24" w:name="audit-evidence-and-documentation"/>
    <w:p>
      <w:pPr>
        <w:pStyle w:val="Heading3"/>
      </w:pPr>
      <w:r>
        <w:t xml:space="preserve">4.2 Audit Evidence and Documentation</w:t>
      </w:r>
    </w:p>
    <w:p>
      <w:pPr>
        <w:pStyle w:val="FirstParagraph"/>
      </w:pPr>
      <w:r>
        <w:t xml:space="preserve">Audit documentation is the primary evidence of the work performed. The review team noted that while the overall volume of documentation was adequate, the quality varied. In certain files, the Auditor failed to document the rationale behind significant judgments made during the audit. For example, the assessment of going concern assumptions for clients facing liquidity challenges in the Jeddah market lacked detailed supporting analysis. The firm must reinforce the requirement for contemporaneous documentation that clearly evidences the basis for audit conclusions.</w:t>
      </w:r>
    </w:p>
    <w:bookmarkEnd w:id="24"/>
    <w:bookmarkStart w:id="25" w:name="compliance-with-isas-and-local-standards"/>
    <w:p>
      <w:pPr>
        <w:pStyle w:val="Heading3"/>
      </w:pPr>
      <w:r>
        <w:t xml:space="preserve">4.3 Compliance with ISAs and Local Standards</w:t>
      </w:r>
    </w:p>
    <w:p>
      <w:pPr>
        <w:pStyle w:val="FirstParagraph"/>
      </w:pPr>
      <w:r>
        <w:t xml:space="preserve">The firm generally complied with the International Standards on Auditing. However, the review identified minor deviations in the application of ISA 240 (Fraud) and ISA 550 (Related Parties). Given the prevalence of family-owned businesses in Saudi Arabia Jeddah, the scrutiny of related-party transactions is paramount. The Auditor must enhance procedures to identify and evaluate all related-party relationships and transactions to ensure full compliance with both ISAs and SOCPA requirements.</w:t>
      </w:r>
    </w:p>
    <w:bookmarkEnd w:id="25"/>
    <w:bookmarkEnd w:id="26"/>
    <w:bookmarkStart w:id="27" w:name="findings-and-recommendations"/>
    <w:p>
      <w:pPr>
        <w:pStyle w:val="Heading2"/>
      </w:pPr>
      <w:r>
        <w:t xml:space="preserve">5. Findings and Recommendations</w:t>
      </w:r>
    </w:p>
    <w:p>
      <w:pPr>
        <w:pStyle w:val="FirstParagraph"/>
      </w:pPr>
      <w:r>
        <w:t xml:space="preserve">Based on the evidence gathered, the following key findings and recommendations are presented:</w:t>
      </w:r>
    </w:p>
    <w:p>
      <w:pPr>
        <w:numPr>
          <w:ilvl w:val="0"/>
          <w:numId w:val="1001"/>
        </w:numPr>
        <w:pStyle w:val="Compact"/>
      </w:pPr>
      <w:r>
        <w:rPr>
          <w:bCs/>
          <w:b/>
        </w:rPr>
        <w:t xml:space="preserve">Enhanced Monitoring:</w:t>
      </w:r>
      <w:r>
        <w:t xml:space="preserve"> </w:t>
      </w:r>
      <w:r>
        <w:t xml:space="preserve">The firm should strengthen its monitoring process to ensure that deficiencies identified in internal inspections are promptly addressed and that corrective actions are effectively implemented.</w:t>
      </w:r>
    </w:p>
    <w:p>
      <w:pPr>
        <w:numPr>
          <w:ilvl w:val="0"/>
          <w:numId w:val="1001"/>
        </w:numPr>
        <w:pStyle w:val="Compact"/>
      </w:pPr>
      <w:r>
        <w:rPr>
          <w:bCs/>
          <w:b/>
        </w:rPr>
        <w:t xml:space="preserve">Documentation Quality:</w:t>
      </w:r>
      <w:r>
        <w:t xml:space="preserve"> </w:t>
      </w:r>
      <w:r>
        <w:t xml:space="preserve">The Auditor must improve the quality of audit documentation, particularly regarding the rationale for significant judgments and the evaluation of audit evidence. Training sessions focused on documentation standards should be conducted.</w:t>
      </w:r>
    </w:p>
    <w:p>
      <w:pPr>
        <w:numPr>
          <w:ilvl w:val="0"/>
          <w:numId w:val="1001"/>
        </w:numPr>
        <w:pStyle w:val="Compact"/>
      </w:pPr>
      <w:r>
        <w:rPr>
          <w:bCs/>
          <w:b/>
        </w:rPr>
        <w:t xml:space="preserve">Local Regulatory Expertise:</w:t>
      </w:r>
      <w:r>
        <w:t xml:space="preserve"> </w:t>
      </w:r>
      <w:r>
        <w:t xml:space="preserve">The firm should invest in continuous professional development regarding ZATCA regulations and the Saudi Corporate Governance Manual to ensure that audits in Saudi Arabia Jeddah are fully compliant with local laws.</w:t>
      </w:r>
    </w:p>
    <w:p>
      <w:pPr>
        <w:numPr>
          <w:ilvl w:val="0"/>
          <w:numId w:val="1001"/>
        </w:numPr>
        <w:pStyle w:val="Compact"/>
      </w:pPr>
      <w:r>
        <w:rPr>
          <w:bCs/>
          <w:b/>
        </w:rPr>
        <w:t xml:space="preserve">Risk Response:</w:t>
      </w:r>
      <w:r>
        <w:t xml:space="preserve"> </w:t>
      </w:r>
      <w:r>
        <w:t xml:space="preserve">The firm needs to ensure a clearer linkage between risk assessment and audit procedures, particularly for high-risk areas such as revenue recognition and related-party transactions.</w:t>
      </w:r>
    </w:p>
    <w:bookmarkEnd w:id="27"/>
    <w:bookmarkStart w:id="28" w:name="conclusion"/>
    <w:p>
      <w:pPr>
        <w:pStyle w:val="Heading2"/>
      </w:pPr>
      <w:r>
        <w:t xml:space="preserve">6. Conclusion</w:t>
      </w:r>
    </w:p>
    <w:p>
      <w:pPr>
        <w:pStyle w:val="FirstParagraph"/>
      </w:pPr>
      <w:r>
        <w:t xml:space="preserve">In conclusion, this Peer Review Report provides a comprehensive assessment of the audit quality of the firm operating in Saudi Arabia Jeddah. While the firm demonstrates a solid foundation in audit practices and generally complies with international and local standards, there are specific areas requiring improvement. By addressing the findings and recommendations outlined in this report, the Auditor can enhance the quality of its services, strengthen its quality control systems, and better serve its clients in the evolving regulatory landscape of the Kingdom. The firm is required to submit a corrective action plan within 30 days of the issuance of this report.</w:t>
      </w:r>
    </w:p>
    <w:p>
      <w:pPr>
        <w:pStyle w:val="BodyText"/>
      </w:pPr>
      <w:r>
        <w:rPr>
          <w:bCs/>
          <w:b/>
        </w:rPr>
        <w:t xml:space="preserve">Lead Peer Reviewer</w:t>
      </w:r>
      <w:r>
        <w:br/>
      </w:r>
      <w:r>
        <w:t xml:space="preserve">[Name]</w:t>
      </w:r>
      <w:r>
        <w:br/>
      </w:r>
      <w:r>
        <w:t xml:space="preserve">[Title]</w:t>
      </w:r>
      <w:r>
        <w:br/>
      </w:r>
      <w:r>
        <w:t xml:space="preserve">[Date]</w:t>
      </w:r>
    </w:p>
    <w:p>
      <w:pPr>
        <w:pStyle w:val="BodyText"/>
      </w:pPr>
      <w:r>
        <w:rPr>
          <w:bCs/>
          <w:b/>
        </w:rPr>
        <w:t xml:space="preserve">Partner in Charge</w:t>
      </w:r>
      <w:r>
        <w:br/>
      </w:r>
      <w:r>
        <w:t xml:space="preserve">[Name]</w:t>
      </w:r>
      <w:r>
        <w:br/>
      </w:r>
      <w:r>
        <w:t xml:space="preserve">[Audit Firm Name]</w:t>
      </w:r>
      <w:r>
        <w:br/>
      </w:r>
      <w:r>
        <w:t xml:space="preserve">[Date]</w:t>
      </w:r>
    </w:p>
    <w:p>
      <w:pPr>
        <w:pStyle w:val="BodyText"/>
      </w:pPr>
      <w:r>
        <w:t xml:space="preserve">This document is confidential and intended solely for the use of the addressee. It is prepared in accordance with the standards of the Saudi Organization for Certified Public Accountants (SOCPA).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Audit Firm Compliance in Saudi Arabia Jeddah</dc:title>
  <dc:creator/>
  <dc:language>en</dc:language>
  <cp:keywords/>
  <dcterms:created xsi:type="dcterms:W3CDTF">2026-10-10T07:06:09Z</dcterms:created>
  <dcterms:modified xsi:type="dcterms:W3CDTF">2026-10-10T07:06:09Z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