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Auditor</w:t>
      </w:r>
      <w:r>
        <w:t xml:space="preserve"> </w:t>
      </w:r>
      <w:r>
        <w:t xml:space="preserve">Quality</w:t>
      </w:r>
      <w:r>
        <w:t xml:space="preserve"> </w:t>
      </w:r>
      <w:r>
        <w:t xml:space="preserve">Assurance</w:t>
      </w:r>
      <w:r>
        <w:t xml:space="preserve"> </w:t>
      </w:r>
      <w:r>
        <w:t xml:space="preserve">in</w:t>
      </w:r>
      <w:r>
        <w:t xml:space="preserve"> </w:t>
      </w:r>
      <w:r>
        <w:t xml:space="preserve">Singapore</w:t>
      </w:r>
    </w:p>
    <w:bookmarkStart w:id="32" w:name="X3094d6abbb56922b1cfaead8a4bb940e7ad99c3"/>
    <w:p>
      <w:pPr>
        <w:pStyle w:val="Heading1"/>
      </w:pPr>
      <w:r>
        <w:t xml:space="preserve">Peer Review Report: Auditor Quality Assurance</w:t>
      </w:r>
    </w:p>
    <w:p>
      <w:pPr>
        <w:pStyle w:val="FirstParagraph"/>
      </w:pPr>
      <w:r>
        <w:rPr>
          <w:bCs/>
          <w:b/>
        </w:rPr>
        <w:t xml:space="preserve">Subject Firm:</w:t>
      </w:r>
      <w:r>
        <w:t xml:space="preserve"> </w:t>
      </w:r>
      <w:r>
        <w:t xml:space="preserve">[Name of Audit Firm]</w:t>
      </w:r>
    </w:p>
    <w:p>
      <w:pPr>
        <w:pStyle w:val="BodyText"/>
      </w:pPr>
      <w:r>
        <w:rPr>
          <w:bCs/>
          <w:b/>
        </w:rPr>
        <w:t xml:space="preserve">Review Period:</w:t>
      </w:r>
      <w:r>
        <w:t xml:space="preserve"> </w:t>
      </w:r>
      <w:r>
        <w:t xml:space="preserve">[Start Date] to [End Date]</w:t>
      </w:r>
    </w:p>
    <w:p>
      <w:pPr>
        <w:pStyle w:val="BodyText"/>
      </w:pPr>
      <w:r>
        <w:rPr>
          <w:bCs/>
          <w:b/>
        </w:rPr>
        <w:t xml:space="preserve">Review Team Lead:</w:t>
      </w:r>
      <w:r>
        <w:t xml:space="preserve"> </w:t>
      </w:r>
      <w:r>
        <w:t xml:space="preserve">[Name of Reviewer]</w:t>
      </w:r>
    </w:p>
    <w:p>
      <w:pPr>
        <w:pStyle w:val="BodyText"/>
      </w:pPr>
      <w:r>
        <w:rPr>
          <w:bCs/>
          <w:b/>
        </w:rPr>
        <w:t xml:space="preserve">Jurisdiction:</w:t>
      </w:r>
      <w:r>
        <w:t xml:space="preserve"> </w:t>
      </w:r>
      <w:r>
        <w:t xml:space="preserve">Singapore</w:t>
      </w:r>
    </w:p>
    <w:p>
      <w:pPr>
        <w:pStyle w:val="BodyText"/>
      </w:pPr>
      <w:r>
        <w:rPr>
          <w:bCs/>
          <w:b/>
        </w:rPr>
        <w:t xml:space="preserve">Date of Report:</w:t>
      </w:r>
      <w:r>
        <w:t xml:space="preserve"> </w:t>
      </w:r>
      <w:r>
        <w:t xml:space="preserve">[Current Date]</w:t>
      </w:r>
    </w:p>
    <w:bookmarkStart w:id="20" w:name="introduction-and-scope"/>
    <w:p>
      <w:pPr>
        <w:pStyle w:val="Heading2"/>
      </w:pPr>
      <w:r>
        <w:t xml:space="preserve">1. Introduction and Scope</w:t>
      </w:r>
    </w:p>
    <w:p>
      <w:pPr>
        <w:pStyle w:val="FirstParagraph"/>
      </w:pPr>
      <w:r>
        <w:t xml:space="preserve">This Peer Review Report has been prepared to evaluate the quality of audit work performed by the Auditor entity operating within the jurisdiction of Singapore. The primary objective of this review is to assess whether the firm’s audit practices comply with the Singapore Standards on Auditing (SSAs), the Code of Ethics for Professional Accountants in Singapore, and the regulatory requirements set forth by the Accounting and Corporate Regulatory Authority (ACRA).</w:t>
      </w:r>
    </w:p>
    <w:p>
      <w:pPr>
        <w:pStyle w:val="BodyText"/>
      </w:pPr>
      <w:r>
        <w:t xml:space="preserve">In the context of Singapore’s robust financial ecosystem, maintaining the highest standards of auditor independence and technical competence is paramount. This report details the findings of a comprehensive examination of the firm’s quality control systems, risk assessment methodologies, and the execution of specific audit engagements. The scope of this peer review encompasses a sample of audit files selected to represent the firm’s diverse client portfolio, ranging from small and medium-sized enterprises (SMEs) to larger listed entities.</w:t>
      </w:r>
    </w:p>
    <w:bookmarkEnd w:id="20"/>
    <w:bookmarkStart w:id="21" w:name="regulatory-framework-and-standards"/>
    <w:p>
      <w:pPr>
        <w:pStyle w:val="Heading2"/>
      </w:pPr>
      <w:r>
        <w:t xml:space="preserve">2. Regulatory Framework and Standards</w:t>
      </w:r>
    </w:p>
    <w:p>
      <w:pPr>
        <w:pStyle w:val="FirstParagraph"/>
      </w:pPr>
      <w:r>
        <w:t xml:space="preserve">The review was conducted in strict adherence to the Singapore Code of Practice for Peer Review of Accounting Practices. The Auditor under review is expected to demonstrate full compliance with the International Standards on Auditing (ISAs) as adopted in Singapore. Furthermore, the review assesses adherence to the Public Accountants Act and the regulations governing the registration and practice of auditors in Singapore.</w:t>
      </w:r>
    </w:p>
    <w:p>
      <w:pPr>
        <w:pStyle w:val="BodyText"/>
      </w:pPr>
      <w:r>
        <w:t xml:space="preserve">Special attention was given to the firm’s implementation of the Singapore Standard on Quality Management (SSQM) 1, which mandates a robust system of quality management to provide reasonable assurance that the firm and its personnel comply with professional standards and regulatory requirements.</w:t>
      </w:r>
    </w:p>
    <w:bookmarkEnd w:id="21"/>
    <w:bookmarkStart w:id="25" w:name="assessment-of-quality-control-systems"/>
    <w:p>
      <w:pPr>
        <w:pStyle w:val="Heading2"/>
      </w:pPr>
      <w:r>
        <w:t xml:space="preserve">3. Assessment of Quality Control Systems</w:t>
      </w:r>
    </w:p>
    <w:bookmarkStart w:id="22" w:name="leadership-responsibilities"/>
    <w:p>
      <w:pPr>
        <w:pStyle w:val="Heading3"/>
      </w:pPr>
      <w:r>
        <w:t xml:space="preserve">3.1 Leadership Responsibilities</w:t>
      </w:r>
    </w:p>
    <w:p>
      <w:pPr>
        <w:pStyle w:val="FirstParagraph"/>
      </w:pPr>
      <w:r>
        <w:t xml:space="preserve">The review team evaluated the tone at the top within the firm. It was observed that the leadership of the Auditor entity places significant emphasis on the importance of quality over commercial considerations. The firm has established clear policies regarding the firm’s culture, which aligns with the ethical requirements expected of auditors in Singapore.</w:t>
      </w:r>
    </w:p>
    <w:bookmarkEnd w:id="22"/>
    <w:bookmarkStart w:id="23" w:name="relevant-ethical-requirements"/>
    <w:p>
      <w:pPr>
        <w:pStyle w:val="Heading3"/>
      </w:pPr>
      <w:r>
        <w:t xml:space="preserve">3.2 Relevant Ethical Requirements</w:t>
      </w:r>
    </w:p>
    <w:p>
      <w:pPr>
        <w:pStyle w:val="FirstParagraph"/>
      </w:pPr>
      <w:r>
        <w:t xml:space="preserve">A critical component of the peer review is the assessment of independence and ethical compliance. The Auditor has implemented effective monitoring procedures to identify and address threats to independence. The firm maintains a comprehensive register of non-audit services provided to audit clients, ensuring that no prohibited services are rendered that could compromise the auditor’s objectivity in accordance with Singapore’s ethical codes.</w:t>
      </w:r>
    </w:p>
    <w:bookmarkEnd w:id="23"/>
    <w:bookmarkStart w:id="24" w:name="Xed529ca1b04c137b45b32787744cc0dc2ea0025"/>
    <w:p>
      <w:pPr>
        <w:pStyle w:val="Heading3"/>
      </w:pPr>
      <w:r>
        <w:t xml:space="preserve">3.3 Acceptance and Continuance of Client Relationships</w:t>
      </w:r>
    </w:p>
    <w:p>
      <w:pPr>
        <w:pStyle w:val="FirstParagraph"/>
      </w:pPr>
      <w:r>
        <w:t xml:space="preserve">The firm’s procedures for accepting new clients and continuing existing relationships were reviewed. The Auditor demonstrates a rigorous due diligence process, assessing the integrity of prospective clients and the firm’s ability to perform the engagement competently. This is particularly relevant in Singapore, where anti-money laundering (AML) and counter-financing of terrorism (CFT) regulations are strictly enforced.</w:t>
      </w:r>
    </w:p>
    <w:bookmarkEnd w:id="24"/>
    <w:bookmarkEnd w:id="25"/>
    <w:bookmarkStart w:id="29" w:name="review-of-audit-engagements"/>
    <w:p>
      <w:pPr>
        <w:pStyle w:val="Heading2"/>
      </w:pPr>
      <w:r>
        <w:t xml:space="preserve">4. Review of Audit Engagements</w:t>
      </w:r>
    </w:p>
    <w:p>
      <w:pPr>
        <w:pStyle w:val="FirstParagraph"/>
      </w:pPr>
      <w:r>
        <w:t xml:space="preserve">The core of this Peer Review Report focuses on the substantive review of selected audit files. The review team examined the planning, execution, and reporting phases of the audits.</w:t>
      </w:r>
    </w:p>
    <w:bookmarkStart w:id="26" w:name="risk-assessment-and-response"/>
    <w:p>
      <w:pPr>
        <w:pStyle w:val="Heading3"/>
      </w:pPr>
      <w:r>
        <w:t xml:space="preserve">4.1 Risk Assessment and Response</w:t>
      </w:r>
    </w:p>
    <w:p>
      <w:pPr>
        <w:pStyle w:val="FirstParagraph"/>
      </w:pPr>
      <w:r>
        <w:t xml:space="preserve">The Auditor was found to generally perform adequate risk assessment procedures. The identification of significant risks, including those related to revenue recognition and valuation of financial instruments, was documented appropriately. However, in one instance, the documentation regarding the response to a identified fraud risk was deemed insufficiently detailed. The firm has been advised to enhance the specificity of audit procedures designed to address fraud risks in future engagements.</w:t>
      </w:r>
    </w:p>
    <w:bookmarkEnd w:id="26"/>
    <w:bookmarkStart w:id="27" w:name="audit-evidence-and-documentation"/>
    <w:p>
      <w:pPr>
        <w:pStyle w:val="Heading3"/>
      </w:pPr>
      <w:r>
        <w:t xml:space="preserve">4.2 Audit Evidence and Documentation</w:t>
      </w:r>
    </w:p>
    <w:p>
      <w:pPr>
        <w:pStyle w:val="FirstParagraph"/>
      </w:pPr>
      <w:r>
        <w:t xml:space="preserve">The sufficiency and appropriateness of audit evidence obtained were evaluated. Overall, the Auditor’s working papers provided a clear trail of the work performed and the conclusions reached. The documentation met the requirements of SSA 230 (Audit Documentation). The review noted that the firm utilizes modern audit software effectively to manage evidence, which is a positive indicator of operational efficiency within the Singapore market.</w:t>
      </w:r>
    </w:p>
    <w:bookmarkEnd w:id="27"/>
    <w:bookmarkStart w:id="28" w:name="group-audits-and-component-auditors"/>
    <w:p>
      <w:pPr>
        <w:pStyle w:val="Heading3"/>
      </w:pPr>
      <w:r>
        <w:t xml:space="preserve">4.3 Group Audits and Component Auditors</w:t>
      </w:r>
    </w:p>
    <w:p>
      <w:pPr>
        <w:pStyle w:val="FirstParagraph"/>
      </w:pPr>
      <w:r>
        <w:t xml:space="preserve">For engagements involving group structures, the Auditor demonstrated a clear understanding of the group’s environment and the components within it. The instructions provided to component auditors were clear, and the group auditor’s review of the component work was thorough, ensuring compliance with SSA 600.</w:t>
      </w:r>
    </w:p>
    <w:bookmarkEnd w:id="28"/>
    <w:bookmarkEnd w:id="29"/>
    <w:bookmarkStart w:id="30" w:name="findings-and-recommendations"/>
    <w:p>
      <w:pPr>
        <w:pStyle w:val="Heading2"/>
      </w:pPr>
      <w:r>
        <w:t xml:space="preserve">5. Findings and Recommendations</w:t>
      </w:r>
    </w:p>
    <w:p>
      <w:pPr>
        <w:pStyle w:val="FirstParagraph"/>
      </w:pPr>
      <w:r>
        <w:t xml:space="preserve">Based on the evidence gathered, the Peer Review Report identifies the following key areas for improvement:</w:t>
      </w:r>
    </w:p>
    <w:p>
      <w:pPr>
        <w:numPr>
          <w:ilvl w:val="0"/>
          <w:numId w:val="1001"/>
        </w:numPr>
        <w:pStyle w:val="Compact"/>
      </w:pPr>
      <w:r>
        <w:rPr>
          <w:bCs/>
          <w:b/>
        </w:rPr>
        <w:t xml:space="preserve">Documentation of Fraud Risk Responses:</w:t>
      </w:r>
      <w:r>
        <w:t xml:space="preserve"> </w:t>
      </w:r>
      <w:r>
        <w:t xml:space="preserve">The Auditor must ensure that the linkage between identified fraud risks and the specific audit procedures performed is explicitly documented in all working papers.</w:t>
      </w:r>
    </w:p>
    <w:p>
      <w:pPr>
        <w:numPr>
          <w:ilvl w:val="0"/>
          <w:numId w:val="1001"/>
        </w:numPr>
        <w:pStyle w:val="Compact"/>
      </w:pPr>
      <w:r>
        <w:rPr>
          <w:bCs/>
          <w:b/>
        </w:rPr>
        <w:t xml:space="preserve">Continuing Professional Development (CPD):</w:t>
      </w:r>
      <w:r>
        <w:t xml:space="preserve"> </w:t>
      </w:r>
      <w:r>
        <w:t xml:space="preserve">While the firm encourages CPD, the tracking of hours related to specific technical updates in Singapore Financial Reporting Standards (SFRS) should be more rigorous to ensure all audit staff are current.</w:t>
      </w:r>
    </w:p>
    <w:p>
      <w:pPr>
        <w:numPr>
          <w:ilvl w:val="0"/>
          <w:numId w:val="1001"/>
        </w:numPr>
        <w:pStyle w:val="Compact"/>
      </w:pPr>
      <w:r>
        <w:rPr>
          <w:bCs/>
          <w:b/>
        </w:rPr>
        <w:t xml:space="preserve">Engagement Quality Control Reviews (EQCR):</w:t>
      </w:r>
      <w:r>
        <w:t xml:space="preserve"> </w:t>
      </w:r>
      <w:r>
        <w:t xml:space="preserve">The timing of EQCRs for high-risk engagements should be strictly monitored to ensure they are completed before the date of the auditor’s report, as required by SSQM 1.</w:t>
      </w:r>
    </w:p>
    <w:bookmarkEnd w:id="30"/>
    <w:bookmarkStart w:id="31" w:name="conclusion"/>
    <w:p>
      <w:pPr>
        <w:pStyle w:val="Heading2"/>
      </w:pPr>
      <w:r>
        <w:t xml:space="preserve">6. Conclusion</w:t>
      </w:r>
    </w:p>
    <w:p>
      <w:pPr>
        <w:pStyle w:val="FirstParagraph"/>
      </w:pPr>
      <w:r>
        <w:t xml:space="preserve">In conclusion, the Auditor entity operating in Singapore has demonstrated a generally effective system of quality control and a commitment to high-quality audit practices. The firm’s adherence to the Singapore Standards on Auditing is satisfactory, with only minor deficiencies noted. The recommendations outlined in this Peer Review Report are intended to further strengthen the firm’s quality management system.</w:t>
      </w:r>
    </w:p>
    <w:p>
      <w:pPr>
        <w:pStyle w:val="BodyText"/>
      </w:pPr>
      <w:r>
        <w:t xml:space="preserve">The review team is satisfied that the firm is capable of providing audit services that meet the expectations of stakeholders in Singapore, including regulators, investors, and the public. The firm is required to submit a remediation plan addressing the findings within thirty (30) days of the issuance of this report.</w:t>
      </w:r>
    </w:p>
    <w:bookmarkEnd w:id="31"/>
    <w:p>
      <w:pPr>
        <w:pStyle w:val="BodyText"/>
      </w:pPr>
      <w:r>
        <w:rPr>
          <w:bCs/>
          <w:b/>
        </w:rPr>
        <w:t xml:space="preserve">Reviewed by:</w:t>
      </w:r>
    </w:p>
    <w:p>
      <w:pPr>
        <w:pStyle w:val="BodyText"/>
      </w:pPr>
      <w:r>
        <w:t xml:space="preserve">[Name of Reviewer]</w:t>
      </w:r>
    </w:p>
    <w:p>
      <w:pPr>
        <w:pStyle w:val="BodyText"/>
      </w:pPr>
      <w:r>
        <w:t xml:space="preserve">Peer Review Team Lead</w:t>
      </w:r>
    </w:p>
    <w:p>
      <w:pPr>
        <w:pStyle w:val="BodyText"/>
      </w:pPr>
      <w:r>
        <w:rPr>
          <w:bCs/>
          <w:b/>
        </w:rPr>
        <w:t xml:space="preserve">Acknowledged by:</w:t>
      </w:r>
    </w:p>
    <w:p>
      <w:pPr>
        <w:pStyle w:val="BodyText"/>
      </w:pPr>
      <w:r>
        <w:t xml:space="preserve">[Name of Firm Partner]</w:t>
      </w:r>
    </w:p>
    <w:p>
      <w:pPr>
        <w:pStyle w:val="BodyText"/>
      </w:pPr>
      <w:r>
        <w:t xml:space="preserve">Managing Partner, [Audit Firm Name]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Auditor Quality Assurance in Singapore</dc:title>
  <dc:creator/>
  <dc:language>en</dc:language>
  <cp:keywords/>
  <dcterms:created xsi:type="dcterms:W3CDTF">2026-10-10T08:50:59Z</dcterms:created>
  <dcterms:modified xsi:type="dcterms:W3CDTF">2026-10-10T08:50:59Z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