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Practice</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peer-review-report"/>
    <w:p>
      <w:pPr>
        <w:pStyle w:val="Heading1"/>
      </w:pPr>
      <w:r>
        <w:t xml:space="preserve">Peer Review Report</w:t>
      </w:r>
    </w:p>
    <w:p>
      <w:pPr>
        <w:pStyle w:val="FirstParagraph"/>
      </w:pPr>
      <w:r>
        <w:t xml:space="preserve">Subject of Review</w:t>
      </w:r>
    </w:p>
    <w:p>
      <w:pPr>
        <w:pStyle w:val="BodyText"/>
      </w:pPr>
      <w:r>
        <w:t xml:space="preserve">Independent Auditor / Audit Firm</w:t>
      </w:r>
    </w:p>
    <w:p>
      <w:pPr>
        <w:pStyle w:val="BodyText"/>
      </w:pPr>
      <w:r>
        <w:t xml:space="preserve">Location of Practice</w:t>
      </w:r>
    </w:p>
    <w:p>
      <w:pPr>
        <w:pStyle w:val="BodyText"/>
      </w:pPr>
      <w:r>
        <w:t xml:space="preserve">South Korea Seoul</w:t>
      </w:r>
    </w:p>
    <w:p>
      <w:pPr>
        <w:pStyle w:val="BodyText"/>
      </w:pPr>
      <w:r>
        <w:t xml:space="preserve">Review Period</w:t>
      </w:r>
    </w:p>
    <w:p>
      <w:pPr>
        <w:pStyle w:val="BodyText"/>
      </w:pPr>
      <w:r>
        <w:t xml:space="preserve">January 1, 2023 – December 31, 2023</w:t>
      </w:r>
    </w:p>
    <w:p>
      <w:pPr>
        <w:pStyle w:val="BodyText"/>
      </w:pPr>
      <w:r>
        <w:t xml:space="preserve">Report Date</w:t>
      </w:r>
    </w:p>
    <w:p>
      <w:pPr>
        <w:pStyle w:val="BodyText"/>
      </w:pPr>
      <w:r>
        <w:t xml:space="preserve">March 15, 2024</w:t>
      </w:r>
    </w:p>
    <w:bookmarkStart w:id="20" w:name="introduction-and-scope"/>
    <w:p>
      <w:pPr>
        <w:pStyle w:val="Heading2"/>
      </w:pPr>
      <w:r>
        <w:t xml:space="preserve">1. Introduction and Scope</w:t>
      </w:r>
    </w:p>
    <w:p>
      <w:pPr>
        <w:pStyle w:val="FirstParagraph"/>
      </w:pPr>
      <w:r>
        <w:t xml:space="preserve">This Peer Review Report has been prepared to evaluate the quality of audit work performed by the Auditor based in South Korea Seoul. The primary objective of this review is to assess whether the Auditor’s practice conforms to the Korean Standards on Auditing (KSA), which are substantially converged with International Standards on Auditing (ISA), as well as the relevant regulations enforced by the Korean Institute of Certified Public Accountants (KICPA).</w:t>
      </w:r>
    </w:p>
    <w:p>
      <w:pPr>
        <w:pStyle w:val="BodyText"/>
      </w:pPr>
      <w:r>
        <w:t xml:space="preserve">Given the dynamic economic environment of South Korea Seoul, the financial capital of the nation, the Auditor is required to maintain rigorous standards when auditing entities ranging from small and medium-sized enterprises (SMEs) to large conglomerates (Chaebols). This report details the findings regarding the Auditor’s adherence to professional ethics, quality control systems, and technical competence.</w:t>
      </w:r>
    </w:p>
    <w:bookmarkEnd w:id="20"/>
    <w:bookmarkStart w:id="21" w:name="regulatory-framework-and-compliance"/>
    <w:p>
      <w:pPr>
        <w:pStyle w:val="Heading2"/>
      </w:pPr>
      <w:r>
        <w:t xml:space="preserve">2. Regulatory Framework and Compliance</w:t>
      </w:r>
    </w:p>
    <w:p>
      <w:pPr>
        <w:pStyle w:val="FirstParagraph"/>
      </w:pPr>
      <w:r>
        <w:t xml:space="preserve">The review focused heavily on the Auditor’s compliance with the Financial Investment Services and Capital Markets Act (FISCMA) and the Commercial Act of South Korea. In South Korea Seoul, where the Korea Exchange (KRX) is headquartered, the scrutiny on public interest entities is particularly high. The Auditor demonstrated a robust understanding of the legal requirements specific to the jurisdiction.</w:t>
      </w:r>
    </w:p>
    <w:p>
      <w:pPr>
        <w:pStyle w:val="BodyText"/>
      </w:pPr>
      <w:r>
        <w:t xml:space="preserve">The Peer Review team examined the Auditor’s policies regarding independence and conflict of interest. It was noted that the Auditor maintains a comprehensive database of client relationships to ensure that no prohibited non-audit services are provided to audit clients, in strict accordance with KICPA guidelines. The Auditor’s commitment to ethical standards in the competitive market of South Korea Seoul was found to be satisfactory.</w:t>
      </w:r>
    </w:p>
    <w:bookmarkEnd w:id="21"/>
    <w:bookmarkStart w:id="22" w:name="quality-control-systems"/>
    <w:p>
      <w:pPr>
        <w:pStyle w:val="Heading2"/>
      </w:pPr>
      <w:r>
        <w:t xml:space="preserve">3. Quality Control Systems</w:t>
      </w:r>
    </w:p>
    <w:p>
      <w:pPr>
        <w:pStyle w:val="FirstParagraph"/>
      </w:pPr>
      <w:r>
        <w:t xml:space="preserve">A critical component of this Peer Review Report is the evaluation of the Auditor’s internal quality control framework. The Auditor has implemented a system that aligns with KSA 220 (Quality Control for an Audit of Financial Statements). The review assessed the following elements:</w:t>
      </w:r>
    </w:p>
    <w:p>
      <w:pPr>
        <w:numPr>
          <w:ilvl w:val="0"/>
          <w:numId w:val="1001"/>
        </w:numPr>
        <w:pStyle w:val="Compact"/>
      </w:pPr>
      <w:r>
        <w:rPr>
          <w:bCs/>
          <w:b/>
        </w:rPr>
        <w:t xml:space="preserve">Leadership Responsibilities:</w:t>
      </w:r>
      <w:r>
        <w:t xml:space="preserve"> </w:t>
      </w:r>
      <w:r>
        <w:t xml:space="preserve">The Auditor’s leadership in South Korea Seoul promotes a culture where quality is paramount. The tone at the top effectively communicates the importance of compliance with professional standards.</w:t>
      </w:r>
    </w:p>
    <w:p>
      <w:pPr>
        <w:numPr>
          <w:ilvl w:val="0"/>
          <w:numId w:val="1001"/>
        </w:numPr>
        <w:pStyle w:val="Compact"/>
      </w:pPr>
      <w:r>
        <w:rPr>
          <w:bCs/>
          <w:b/>
        </w:rPr>
        <w:t xml:space="preserve">Relevant Ethical Requirements:</w:t>
      </w:r>
      <w:r>
        <w:t xml:space="preserve"> </w:t>
      </w:r>
      <w:r>
        <w:t xml:space="preserve">Procedures are in place to monitor compliance with independence requirements, which is crucial given the interconnected nature of business networks in South Korea Seoul.</w:t>
      </w:r>
    </w:p>
    <w:p>
      <w:pPr>
        <w:numPr>
          <w:ilvl w:val="0"/>
          <w:numId w:val="1001"/>
        </w:numPr>
        <w:pStyle w:val="Compact"/>
      </w:pPr>
      <w:r>
        <w:rPr>
          <w:bCs/>
          <w:b/>
        </w:rPr>
        <w:t xml:space="preserve">Acceptance and Continuance of Client Relationships:</w:t>
      </w:r>
      <w:r>
        <w:t xml:space="preserve"> </w:t>
      </w:r>
      <w:r>
        <w:t xml:space="preserve">The Auditor employs a rigorous risk assessment process before accepting new clients. This ensures that the firm only engages with clients where the management integrity is deemed acceptable and the firm possesses the necessary competence.</w:t>
      </w:r>
    </w:p>
    <w:p>
      <w:pPr>
        <w:numPr>
          <w:ilvl w:val="0"/>
          <w:numId w:val="1001"/>
        </w:numPr>
        <w:pStyle w:val="Compact"/>
      </w:pPr>
      <w:r>
        <w:rPr>
          <w:bCs/>
          <w:b/>
        </w:rPr>
        <w:t xml:space="preserve">Human Resources:</w:t>
      </w:r>
      <w:r>
        <w:t xml:space="preserve"> </w:t>
      </w:r>
      <w:r>
        <w:t xml:space="preserve">The Auditor invests significantly in the training and development of staff. Continuous professional development (CPD) is mandatory, ensuring that the audit team remains updated on changes in Korean accounting standards and tax laws.</w:t>
      </w:r>
    </w:p>
    <w:bookmarkEnd w:id="22"/>
    <w:bookmarkStart w:id="23" w:name="technical-competence-and-audit-execution"/>
    <w:p>
      <w:pPr>
        <w:pStyle w:val="Heading2"/>
      </w:pPr>
      <w:r>
        <w:t xml:space="preserve">4. Technical Competence and Audit Execution</w:t>
      </w:r>
    </w:p>
    <w:p>
      <w:pPr>
        <w:pStyle w:val="FirstParagraph"/>
      </w:pPr>
      <w:r>
        <w:t xml:space="preserve">The Peer Review team selected a sample of audit files from the Auditor’s portfolio in South Korea Seoul to evaluate the quality of work performed. The files covered various industries, including manufacturing, technology, and retail, reflecting the diverse economic landscape of the region.</w:t>
      </w:r>
    </w:p>
    <w:p>
      <w:pPr>
        <w:pStyle w:val="BodyText"/>
      </w:pPr>
      <w:r>
        <w:t xml:space="preserve">The review confirmed that the Auditor consistently applies risk-based audit approaches. Audit plans were well-documented, identifying significant risks and outlining the nature, timing, and extent of audit procedures. The Auditor demonstrated a strong ability to identify and address risks related to revenue recognition and related-party transactions, which are areas of heightened focus for regulators in South Korea.</w:t>
      </w:r>
    </w:p>
    <w:p>
      <w:pPr>
        <w:pStyle w:val="BodyText"/>
      </w:pPr>
      <w:r>
        <w:t xml:space="preserve">Furthermore, the Auditor’s use of technology in the audit process was commended. The integration of data analytics tools has enhanced the Auditor’s ability to detect anomalies and test populations more effectively. This technological proficiency is essential for maintaining efficiency and accuracy in the fast-paced business environment of South Korea Seoul.</w:t>
      </w:r>
    </w:p>
    <w:bookmarkEnd w:id="23"/>
    <w:bookmarkStart w:id="24" w:name="findings-and-recommendations"/>
    <w:p>
      <w:pPr>
        <w:pStyle w:val="Heading2"/>
      </w:pPr>
      <w:r>
        <w:t xml:space="preserve">5. Findings and Recommendations</w:t>
      </w:r>
    </w:p>
    <w:p>
      <w:pPr>
        <w:pStyle w:val="FirstParagraph"/>
      </w:pPr>
      <w:r>
        <w:t xml:space="preserve">Overall, the Peer Review Report concludes that the Auditor operates at a high level of professional competence. However, the review identified minor areas for improvement to further enhance the quality of the audit practice:</w:t>
      </w:r>
    </w:p>
    <w:p>
      <w:pPr>
        <w:numPr>
          <w:ilvl w:val="0"/>
          <w:numId w:val="1002"/>
        </w:numPr>
        <w:pStyle w:val="Compact"/>
      </w:pPr>
      <w:r>
        <w:rPr>
          <w:bCs/>
          <w:b/>
        </w:rPr>
        <w:t xml:space="preserve">Documentation of Professional Skepticism:</w:t>
      </w:r>
      <w:r>
        <w:t xml:space="preserve"> </w:t>
      </w:r>
      <w:r>
        <w:t xml:space="preserve">While the Auditor exercises professional skepticism, the documentation in some files could be more explicit in detailing how conflicting evidence was resolved. Enhancing this documentation will provide a clearer audit trail.</w:t>
      </w:r>
    </w:p>
    <w:p>
      <w:pPr>
        <w:numPr>
          <w:ilvl w:val="0"/>
          <w:numId w:val="1002"/>
        </w:numPr>
        <w:pStyle w:val="Compact"/>
      </w:pPr>
      <w:r>
        <w:rPr>
          <w:bCs/>
          <w:b/>
        </w:rPr>
        <w:t xml:space="preserve">Communication with Those Charged with Governance:</w:t>
      </w:r>
      <w:r>
        <w:t xml:space="preserve"> </w:t>
      </w:r>
      <w:r>
        <w:t xml:space="preserve">The Auditor should ensure that all communications with audit committees are documented in a standardized format, particularly for listed companies in South Korea Seoul, to meet the evolving expectations of the Financial Supervisory Service (FSS).</w:t>
      </w:r>
    </w:p>
    <w:bookmarkEnd w:id="24"/>
    <w:bookmarkStart w:id="25" w:name="conclusion"/>
    <w:p>
      <w:pPr>
        <w:pStyle w:val="Heading2"/>
      </w:pPr>
      <w:r>
        <w:t xml:space="preserve">6. Conclusion</w:t>
      </w:r>
    </w:p>
    <w:p>
      <w:pPr>
        <w:pStyle w:val="FirstParagraph"/>
      </w:pPr>
      <w:r>
        <w:t xml:space="preserve">Based on the evidence gathered during this review, the Peer Review team is satisfied that the Auditor’s practice in South Korea Seoul meets the required standards of quality and professionalism. The Auditor has demonstrated a strong commitment to upholding the integrity of the financial reporting process. The recommendations provided in this Peer Review Report are intended to support the Auditor in maintaining and further improving their already high standards of practice.</w:t>
      </w:r>
    </w:p>
    <w:p>
      <w:pPr>
        <w:pStyle w:val="BodyText"/>
      </w:pPr>
      <w:r>
        <w:t xml:space="preserve">This report serves as a formal record of the evaluation and contributes to the public interest by ensuring that the Auditor remains fit to provide assurance services in the critical financial hub of South Korea Seoul.</w:t>
      </w:r>
    </w:p>
    <w:p>
      <w:pPr>
        <w:pStyle w:val="BodyText"/>
      </w:pPr>
      <w:r>
        <w:rPr>
          <w:bCs/>
          <w:b/>
        </w:rPr>
        <w:t xml:space="preserve">Lead Peer Reviewer</w:t>
      </w:r>
      <w:r>
        <w:br/>
      </w:r>
      <w:r>
        <w:t xml:space="preserve">Senior Partner, Quality Assurance Division</w:t>
      </w:r>
      <w:r>
        <w:br/>
      </w:r>
      <w:r>
        <w:t xml:space="preserve">Date: March 15, 2024</w:t>
      </w:r>
    </w:p>
    <w:p>
      <w:pPr>
        <w:pStyle w:val="BodyText"/>
      </w:pPr>
      <w:r>
        <w:rPr>
          <w:bCs/>
          <w:b/>
        </w:rPr>
        <w:t xml:space="preserve">Auditor Representative</w:t>
      </w:r>
      <w:r>
        <w:br/>
      </w:r>
      <w:r>
        <w:t xml:space="preserve">Managing Partner</w:t>
      </w:r>
      <w:r>
        <w:br/>
      </w:r>
      <w:r>
        <w:t xml:space="preserve">Date: March 15, 2024</w:t>
      </w:r>
    </w:p>
    <w:p>
      <w:pPr>
        <w:pStyle w:val="BodyText"/>
      </w:pPr>
      <w:r>
        <w:t xml:space="preserve">This document is confidential and intended solely for the use of the addressee. Unauthorized distribution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Practice in South Korea Seoul</dc:title>
  <dc:creator/>
  <dc:language>en</dc:language>
  <cp:keywords/>
  <dcterms:created xsi:type="dcterms:W3CDTF">2026-10-10T08:10:04Z</dcterms:created>
  <dcterms:modified xsi:type="dcterms:W3CDTF">2026-10-10T08:10:04Z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