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Performance</w:t>
      </w:r>
      <w:r>
        <w:t xml:space="preserve"> </w:t>
      </w:r>
      <w:r>
        <w:t xml:space="preserve">in</w:t>
      </w:r>
      <w:r>
        <w:t xml:space="preserve"> </w:t>
      </w:r>
      <w:r>
        <w:t xml:space="preserve">Sudan</w:t>
      </w:r>
      <w:r>
        <w:t xml:space="preserve"> </w:t>
      </w:r>
      <w:r>
        <w:t xml:space="preserve">Khartoum</w:t>
      </w:r>
    </w:p>
    <w:bookmarkStart w:id="29" w:name="Xa0af310236b5ef39c46d78ea84ad3c19e8b5098"/>
    <w:p>
      <w:pPr>
        <w:pStyle w:val="Heading1"/>
      </w:pPr>
      <w:r>
        <w:t xml:space="preserve">Peer Review Report: Auditor Performance Assessment</w:t>
      </w:r>
    </w:p>
    <w:p>
      <w:pPr>
        <w:pStyle w:val="FirstParagraph"/>
      </w:pPr>
      <w:r>
        <w:rPr>
          <w:bCs/>
          <w:b/>
        </w:rPr>
        <w:t xml:space="preserve">Location:</w:t>
      </w:r>
      <w:r>
        <w:t xml:space="preserve"> </w:t>
      </w:r>
      <w:r>
        <w:t xml:space="preserve">Khartoum, Sudan</w:t>
      </w:r>
      <w:r>
        <w:br/>
      </w:r>
      <w:r>
        <w:rPr>
          <w:bCs/>
          <w:b/>
        </w:rPr>
        <w:t xml:space="preserve">Date of Report:</w:t>
      </w:r>
      <w:r>
        <w:t xml:space="preserve"> </w:t>
      </w:r>
      <w:r>
        <w:t xml:space="preserve">October 24, 2023</w:t>
      </w:r>
    </w:p>
    <w:p>
      <w:pPr>
        <w:pStyle w:val="BodyText"/>
      </w:pPr>
      <w:r>
        <w:rPr>
          <w:bCs/>
          <w:b/>
        </w:rPr>
        <w:t xml:space="preserve">Review Type:</w:t>
      </w:r>
      <w:r>
        <w:t xml:space="preserve"> </w:t>
      </w:r>
      <w:r>
        <w:t xml:space="preserve">Quality Assurance &amp; Peer Evaluation</w:t>
      </w:r>
      <w:r>
        <w:br/>
      </w:r>
      <w:r>
        <w:rPr>
          <w:bCs/>
          <w:b/>
        </w:rPr>
        <w:t xml:space="preserve">Reference Standard:</w:t>
      </w:r>
      <w:r>
        <w:t xml:space="preserve"> </w:t>
      </w:r>
      <w:r>
        <w:t xml:space="preserve">International Standards on Auditing (ISA)</w:t>
      </w:r>
    </w:p>
    <w:bookmarkStart w:id="20" w:name="executive-summary"/>
    <w:p>
      <w:pPr>
        <w:pStyle w:val="Heading2"/>
      </w:pPr>
      <w:r>
        <w:t xml:space="preserve">1. Executive Summary</w:t>
      </w:r>
    </w:p>
    <w:p>
      <w:pPr>
        <w:pStyle w:val="FirstParagraph"/>
      </w:pPr>
      <w:r>
        <w:t xml:space="preserve">This Peer Review Report serves as a formal evaluation of the professional performance, technical competence, and ethical adherence of the Auditor assigned to the fiscal review cycle within the Khartoum region of Sudan. The purpose of this document is to ensure that the audit processes conducted by the Auditor align with the rigorous demands of the International Standards on Auditing (ISA) while remaining sensitive to the unique economic, regulatory, and operational landscape of Sudan.</w:t>
      </w:r>
    </w:p>
    <w:p>
      <w:pPr>
        <w:pStyle w:val="BodyText"/>
      </w:pPr>
      <w:r>
        <w:t xml:space="preserve">The review was conducted by an independent panel of senior accounting professionals to assess the quality of work performed during the recent financial year. The findings indicate that while the Auditor demonstrates a strong foundational knowledge of accounting principles, there are specific areas regarding local regulatory compliance in Khartoum and risk assessment methodologies that require refinement. This report outlines the strengths observed, identifies critical areas for improvement, and provides actionable recommendations to enhance the overall quality of audit services delivered in this jurisdiction.</w:t>
      </w:r>
    </w:p>
    <w:bookmarkEnd w:id="20"/>
    <w:bookmarkStart w:id="21" w:name="scope-and-methodology"/>
    <w:p>
      <w:pPr>
        <w:pStyle w:val="Heading2"/>
      </w:pPr>
      <w:r>
        <w:t xml:space="preserve">2. Scope and Methodology</w:t>
      </w:r>
    </w:p>
    <w:p>
      <w:pPr>
        <w:pStyle w:val="FirstParagraph"/>
      </w:pPr>
      <w:r>
        <w:t xml:space="preserve">The scope of this peer review encompasses the audit files, working papers, and final reports generated by the Auditor for three major client engagements based in Khartoum. The review methodology involved a detailed inspection of the Auditor's adherence to the following key pillars:</w:t>
      </w:r>
    </w:p>
    <w:p>
      <w:pPr>
        <w:numPr>
          <w:ilvl w:val="0"/>
          <w:numId w:val="1001"/>
        </w:numPr>
        <w:pStyle w:val="Compact"/>
      </w:pPr>
      <w:r>
        <w:rPr>
          <w:bCs/>
          <w:b/>
        </w:rPr>
        <w:t xml:space="preserve">Technical Competence:</w:t>
      </w:r>
      <w:r>
        <w:t xml:space="preserve"> </w:t>
      </w:r>
      <w:r>
        <w:t xml:space="preserve">Evaluation of the application of accounting standards and audit procedures.</w:t>
      </w:r>
    </w:p>
    <w:p>
      <w:pPr>
        <w:numPr>
          <w:ilvl w:val="0"/>
          <w:numId w:val="1001"/>
        </w:numPr>
        <w:pStyle w:val="Compact"/>
      </w:pPr>
      <w:r>
        <w:rPr>
          <w:bCs/>
          <w:b/>
        </w:rPr>
        <w:t xml:space="preserve">Regulatory Compliance:</w:t>
      </w:r>
      <w:r>
        <w:t xml:space="preserve"> </w:t>
      </w:r>
      <w:r>
        <w:t xml:space="preserve">Assessment of adherence to the Sudanese Companies Act and regulations set forth by the Institute of Certified Public Accountants of Sudan (ICPAS).</w:t>
      </w:r>
    </w:p>
    <w:p>
      <w:pPr>
        <w:numPr>
          <w:ilvl w:val="0"/>
          <w:numId w:val="1001"/>
        </w:numPr>
        <w:pStyle w:val="Compact"/>
      </w:pPr>
      <w:r>
        <w:rPr>
          <w:bCs/>
          <w:b/>
        </w:rPr>
        <w:t xml:space="preserve">Professional Skepticism:</w:t>
      </w:r>
      <w:r>
        <w:t xml:space="preserve"> </w:t>
      </w:r>
      <w:r>
        <w:t xml:space="preserve">Analysis of the Auditor's approach to identifying and addressing potential fraud or material misstatements.</w:t>
      </w:r>
    </w:p>
    <w:p>
      <w:pPr>
        <w:numPr>
          <w:ilvl w:val="0"/>
          <w:numId w:val="1001"/>
        </w:numPr>
        <w:pStyle w:val="Compact"/>
      </w:pPr>
      <w:r>
        <w:rPr>
          <w:bCs/>
          <w:b/>
        </w:rPr>
        <w:t xml:space="preserve">Documentation Quality:</w:t>
      </w:r>
      <w:r>
        <w:t xml:space="preserve"> </w:t>
      </w:r>
      <w:r>
        <w:t xml:space="preserve">Review of the clarity, completeness, and organization of audit working papers.</w:t>
      </w:r>
    </w:p>
    <w:p>
      <w:pPr>
        <w:pStyle w:val="FirstParagraph"/>
      </w:pPr>
      <w:r>
        <w:t xml:space="preserve">Special attention was paid to how the Auditor navigated the specific challenges present in the Khartoum business environment, including currency fluctuation impacts, import/export restrictions, and the dual-currency nature of many local transactions.</w:t>
      </w:r>
    </w:p>
    <w:bookmarkEnd w:id="21"/>
    <w:bookmarkStart w:id="26" w:name="detailed-findings"/>
    <w:p>
      <w:pPr>
        <w:pStyle w:val="Heading2"/>
      </w:pPr>
      <w:r>
        <w:t xml:space="preserve">3. Detailed Findings</w:t>
      </w:r>
    </w:p>
    <w:bookmarkStart w:id="22" w:name="Xf12787ecfcf37aeb23bc4b281b96d2fcc810b74"/>
    <w:p>
      <w:pPr>
        <w:pStyle w:val="Heading3"/>
      </w:pPr>
      <w:r>
        <w:t xml:space="preserve">3.1 Technical Proficiency and Application of Standards</w:t>
      </w:r>
    </w:p>
    <w:p>
      <w:pPr>
        <w:pStyle w:val="FirstParagraph"/>
      </w:pPr>
      <w:r>
        <w:t xml:space="preserve">The Auditor has demonstrated a commendable level of technical proficiency in applying International Financial Reporting Standards (IFRS). The treatment of complex financial instruments and revenue recognition policies was handled with precision. However, the review identified a gap in the application of local tax regulations specific to Khartoum. The Auditor occasionally relied on generalized interpretations of tax law rather than consulting the most recent circulars issued by the Sudanese tax authorities. In a jurisdiction as dynamic as Sudan, where fiscal policies can shift rapidly, the Auditor must ensure that their technical framework is updated in real-time to reflect local statutory requirements.</w:t>
      </w:r>
    </w:p>
    <w:bookmarkEnd w:id="22"/>
    <w:bookmarkStart w:id="23" w:name="risk-assessment-and-internal-controls"/>
    <w:p>
      <w:pPr>
        <w:pStyle w:val="Heading3"/>
      </w:pPr>
      <w:r>
        <w:t xml:space="preserve">3.2 Risk Assessment and Internal Controls</w:t>
      </w:r>
    </w:p>
    <w:p>
      <w:pPr>
        <w:pStyle w:val="FirstParagraph"/>
      </w:pPr>
      <w:r>
        <w:t xml:space="preserve">A critical component of any audit is the assessment of risk. The Auditor’s risk assessment procedures were generally robust; however, they lacked sufficient depth regarding the operational risks unique to Khartoum. For instance, the impact of supply chain disruptions and the volatility of the Sudanese Pound (SDG) against foreign currencies were not fully integrated into the risk matrix for several clients. The Auditor needs to adopt a more localized risk model that accounts for the macroeconomic instability often experienced in the region. Failure to adequately assess these risks may lead to an underestimation of potential material misstatements in the financial statements.</w:t>
      </w:r>
    </w:p>
    <w:bookmarkEnd w:id="23"/>
    <w:bookmarkStart w:id="24" w:name="professional-skepticism-and-independence"/>
    <w:p>
      <w:pPr>
        <w:pStyle w:val="Heading3"/>
      </w:pPr>
      <w:r>
        <w:t xml:space="preserve">3.3 Professional Skepticism and Independence</w:t>
      </w:r>
    </w:p>
    <w:p>
      <w:pPr>
        <w:pStyle w:val="FirstParagraph"/>
      </w:pPr>
      <w:r>
        <w:t xml:space="preserve">The Auditor maintained a high degree of independence throughout the engagements. There were no conflicts of interest identified. However, the level of professional skepticism varied across different audit areas. In instances involving related-party transactions—a common feature in the Sudanese corporate structure—the Auditor accepted management representations with limited corroborating evidence. To strengthen the audit quality, the Auditor must exercise heightened skepticism when dealing with related parties, ensuring that all transactions are conducted at arm's length and properly disclosed in accordance with IFRS and local laws.</w:t>
      </w:r>
    </w:p>
    <w:bookmarkEnd w:id="24"/>
    <w:bookmarkStart w:id="25" w:name="documentation-and-reporting"/>
    <w:p>
      <w:pPr>
        <w:pStyle w:val="Heading3"/>
      </w:pPr>
      <w:r>
        <w:t xml:space="preserve">3.4 Documentation and Reporting</w:t>
      </w:r>
    </w:p>
    <w:p>
      <w:pPr>
        <w:pStyle w:val="FirstParagraph"/>
      </w:pPr>
      <w:r>
        <w:t xml:space="preserve">The working papers prepared by the Auditor were generally well-organized and provided a clear trail of the audit procedures performed. However, the final audit reports lacked specific insights into the local economic context. While the financial data was accurate, the reports did not sufficiently highlight the implications of the Khartoum market conditions on the client's future financial health. The Auditor should strive to provide value-added commentary that helps stakeholders understand the financial results within the broader context of the Sudanese economy.</w:t>
      </w:r>
    </w:p>
    <w:bookmarkEnd w:id="25"/>
    <w:bookmarkEnd w:id="26"/>
    <w:bookmarkStart w:id="27" w:name="recommendations"/>
    <w:p>
      <w:pPr>
        <w:pStyle w:val="Heading2"/>
      </w:pPr>
      <w:r>
        <w:t xml:space="preserve">4. Recommendations</w:t>
      </w:r>
    </w:p>
    <w:p>
      <w:pPr>
        <w:pStyle w:val="FirstParagraph"/>
      </w:pPr>
      <w:r>
        <w:t xml:space="preserve">Based on the findings of this Peer Review Report, the following recommendations are made to the Auditor to enhance their performance and ensure compliance with both international and local standards:</w:t>
      </w:r>
    </w:p>
    <w:p>
      <w:pPr>
        <w:numPr>
          <w:ilvl w:val="0"/>
          <w:numId w:val="1002"/>
        </w:numPr>
        <w:pStyle w:val="Compact"/>
      </w:pPr>
      <w:r>
        <w:rPr>
          <w:bCs/>
          <w:b/>
        </w:rPr>
        <w:t xml:space="preserve">Enhance Local Regulatory Knowledge:</w:t>
      </w:r>
      <w:r>
        <w:t xml:space="preserve"> </w:t>
      </w:r>
      <w:r>
        <w:t xml:space="preserve">The Auditor should engage in continuous professional development focused specifically on Sudanese tax laws and the regulations of the ICPAS. Regular consultation with local legal experts is advised.</w:t>
      </w:r>
    </w:p>
    <w:p>
      <w:pPr>
        <w:numPr>
          <w:ilvl w:val="0"/>
          <w:numId w:val="1002"/>
        </w:numPr>
        <w:pStyle w:val="Compact"/>
      </w:pPr>
      <w:r>
        <w:rPr>
          <w:bCs/>
          <w:b/>
        </w:rPr>
        <w:t xml:space="preserve">Refine Risk Assessment Models:</w:t>
      </w:r>
      <w:r>
        <w:t xml:space="preserve"> </w:t>
      </w:r>
      <w:r>
        <w:t xml:space="preserve">Incorporate specific macroeconomic indicators relevant to Khartoum, such as inflation rates and currency exchange volatility, into the risk assessment framework.</w:t>
      </w:r>
    </w:p>
    <w:p>
      <w:pPr>
        <w:numPr>
          <w:ilvl w:val="0"/>
          <w:numId w:val="1002"/>
        </w:numPr>
        <w:pStyle w:val="Compact"/>
      </w:pPr>
      <w:r>
        <w:rPr>
          <w:bCs/>
          <w:b/>
        </w:rPr>
        <w:t xml:space="preserve">Strengthen Evidence Gathering:</w:t>
      </w:r>
      <w:r>
        <w:t xml:space="preserve"> </w:t>
      </w:r>
      <w:r>
        <w:t xml:space="preserve">Increase the rigor of evidence collection for related-party transactions and high-risk areas to ensure that professional skepticism is consistently applied.</w:t>
      </w:r>
    </w:p>
    <w:p>
      <w:pPr>
        <w:numPr>
          <w:ilvl w:val="0"/>
          <w:numId w:val="1002"/>
        </w:numPr>
        <w:pStyle w:val="Compact"/>
      </w:pPr>
      <w:r>
        <w:rPr>
          <w:bCs/>
          <w:b/>
        </w:rPr>
        <w:t xml:space="preserve">Improve Reporting Context:</w:t>
      </w:r>
      <w:r>
        <w:t xml:space="preserve"> </w:t>
      </w:r>
      <w:r>
        <w:t xml:space="preserve">Provide more detailed analysis in audit reports that contextualizes financial performance within the local economic environment of Sudan.</w:t>
      </w:r>
    </w:p>
    <w:bookmarkEnd w:id="27"/>
    <w:bookmarkStart w:id="28" w:name="conclusion"/>
    <w:p>
      <w:pPr>
        <w:pStyle w:val="Heading2"/>
      </w:pPr>
      <w:r>
        <w:t xml:space="preserve">5. Conclusion</w:t>
      </w:r>
    </w:p>
    <w:p>
      <w:pPr>
        <w:pStyle w:val="FirstParagraph"/>
      </w:pPr>
      <w:r>
        <w:t xml:space="preserve">In conclusion, the Auditor under review possesses the fundamental skills and ethical grounding necessary to perform high-quality audits in Khartoum, Sudan. However, to achieve excellence and fully meet the expectations of stakeholders in this complex environment, the Auditor must adapt their approach to better reflect local realities. By addressing the areas of improvement identified in this Peer Review Report, the Auditor will not only enhance their professional standing but also contribute to the integrity and transparency of the financial reporting landscape in Sudan.</w:t>
      </w:r>
    </w:p>
    <w:p>
      <w:pPr>
        <w:pStyle w:val="BodyText"/>
      </w:pPr>
      <w:r>
        <w:rPr>
          <w:bCs/>
          <w:b/>
        </w:rPr>
        <w:t xml:space="preserve">Lead Reviewer</w:t>
      </w:r>
      <w:r>
        <w:br/>
      </w:r>
      <w:r>
        <w:t xml:space="preserve">Senior Partner, Quality Assurance</w:t>
      </w:r>
      <w:r>
        <w:br/>
      </w:r>
      <w:r>
        <w:t xml:space="preserve">[Signature]</w:t>
      </w:r>
    </w:p>
    <w:p>
      <w:pPr>
        <w:pStyle w:val="BodyText"/>
      </w:pPr>
      <w:r>
        <w:rPr>
          <w:bCs/>
          <w:b/>
        </w:rPr>
        <w:t xml:space="preserve">Auditor Acknowledgement</w:t>
      </w:r>
      <w:r>
        <w:br/>
      </w:r>
      <w:r>
        <w:t xml:space="preserve">[Signature]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Performance in Sudan Khartoum</dc:title>
  <dc:creator/>
  <dc:language>en</dc:language>
  <cp:keywords/>
  <dcterms:created xsi:type="dcterms:W3CDTF">2026-10-10T09:18:03Z</dcterms:created>
  <dcterms:modified xsi:type="dcterms:W3CDTF">2026-10-10T09:18:03Z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