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Peer</w:t>
      </w:r>
      <w:r>
        <w:t xml:space="preserve"> </w:t>
      </w:r>
      <w:r>
        <w:t xml:space="preserve">Review</w:t>
      </w:r>
      <w:r>
        <w:t xml:space="preserve"> </w:t>
      </w:r>
      <w:r>
        <w:t xml:space="preserve">Report:</w:t>
      </w:r>
      <w:r>
        <w:t xml:space="preserve"> </w:t>
      </w:r>
      <w:r>
        <w:t xml:space="preserve">Auditor</w:t>
      </w:r>
      <w:r>
        <w:t xml:space="preserve"> </w:t>
      </w:r>
      <w:r>
        <w:t xml:space="preserve">Performance</w:t>
      </w:r>
      <w:r>
        <w:t xml:space="preserve"> </w:t>
      </w:r>
      <w:r>
        <w:t xml:space="preserve">Assessment</w:t>
      </w:r>
    </w:p>
    <w:bookmarkStart w:id="20" w:name="peer-review-report"/>
    <w:p>
      <w:pPr>
        <w:pStyle w:val="Heading1"/>
      </w:pPr>
      <w:r>
        <w:t xml:space="preserve">Peer Review Report</w:t>
      </w:r>
    </w:p>
    <w:p>
      <w:pPr>
        <w:pStyle w:val="FirstParagraph"/>
      </w:pPr>
      <w:r>
        <w:rPr>
          <w:bCs/>
          <w:b/>
        </w:rPr>
        <w:t xml:space="preserve">Subject:</w:t>
      </w:r>
      <w:r>
        <w:t xml:space="preserve"> </w:t>
      </w:r>
      <w:r>
        <w:t xml:space="preserve">Professional Competence and Quality Assurance of the Auditor</w:t>
      </w:r>
    </w:p>
    <w:p>
      <w:pPr>
        <w:pStyle w:val="BodyText"/>
      </w:pPr>
      <w:r>
        <w:rPr>
          <w:bCs/>
          <w:b/>
        </w:rPr>
        <w:t xml:space="preserve">Location of Practice:</w:t>
      </w:r>
      <w:r>
        <w:t xml:space="preserve"> </w:t>
      </w:r>
      <w:r>
        <w:t xml:space="preserve">Turkey, Ankara</w:t>
      </w:r>
    </w:p>
    <w:bookmarkEnd w:id="20"/>
    <w:p>
      <w:pPr>
        <w:pStyle w:val="BodyText"/>
      </w:pPr>
      <w:r>
        <w:rPr>
          <w:bCs/>
          <w:b/>
        </w:rPr>
        <w:t xml:space="preserve">Report 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Review Period:</w:t>
      </w:r>
      <w:r>
        <w:t xml:space="preserve"> </w:t>
      </w:r>
      <w:r>
        <w:t xml:space="preserve">January 1, 2023 – September 30, 2023</w:t>
      </w:r>
    </w:p>
    <w:p>
      <w:pPr>
        <w:pStyle w:val="BodyText"/>
      </w:pPr>
      <w:r>
        <w:rPr>
          <w:bCs/>
          <w:b/>
        </w:rPr>
        <w:t xml:space="preserve">Reviewing Body:</w:t>
      </w:r>
      <w:r>
        <w:t xml:space="preserve"> </w:t>
      </w:r>
      <w:r>
        <w:t xml:space="preserve">Independent Quality Assurance Committee</w:t>
      </w:r>
      <w:r>
        <w:br/>
      </w:r>
      <w:r>
        <w:rPr>
          <w:bCs/>
          <w:b/>
        </w:rPr>
        <w:t xml:space="preserve">Reference:</w:t>
      </w:r>
      <w:r>
        <w:t xml:space="preserve"> </w:t>
      </w:r>
      <w:r>
        <w:t xml:space="preserve">TR-ANK-QA-2023-089</w:t>
      </w:r>
    </w:p>
    <w:bookmarkStart w:id="21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Peer Review Report</w:t>
      </w:r>
      <w:r>
        <w:t xml:space="preserve"> </w:t>
      </w:r>
      <w:r>
        <w:t xml:space="preserve">has been prepared to evaluate the professional performance, technical competence, and adherence to ethical standards of the</w:t>
      </w:r>
      <w:r>
        <w:t xml:space="preserve"> </w:t>
      </w:r>
      <w:r>
        <w:rPr>
          <w:bCs/>
          <w:b/>
        </w:rPr>
        <w:t xml:space="preserve">Auditor</w:t>
      </w:r>
      <w:r>
        <w:t xml:space="preserve"> </w:t>
      </w:r>
      <w:r>
        <w:t xml:space="preserve">operating within the jurisdiction of</w:t>
      </w:r>
      <w:r>
        <w:t xml:space="preserve"> </w:t>
      </w:r>
      <w:r>
        <w:rPr>
          <w:bCs/>
          <w:b/>
        </w:rPr>
        <w:t xml:space="preserve">Turkey, Ankara</w:t>
      </w:r>
      <w:r>
        <w:t xml:space="preserve">. The review was conducted in accordance with the International Standard on Quality Control (ISQC) 1 and the specific regulatory requirements set forth by the Public Accounting, Auditing and Consulting Standards Board (TÜRKON) in Turkey.</w:t>
      </w:r>
    </w:p>
    <w:p>
      <w:pPr>
        <w:pStyle w:val="BodyText"/>
      </w:pPr>
      <w:r>
        <w:t xml:space="preserve">The primary objective of this assessment is to ensure that the</w:t>
      </w:r>
      <w:r>
        <w:t xml:space="preserve"> </w:t>
      </w:r>
      <w:r>
        <w:rPr>
          <w:bCs/>
          <w:b/>
        </w:rPr>
        <w:t xml:space="preserve">Auditor</w:t>
      </w:r>
      <w:r>
        <w:t xml:space="preserve"> </w:t>
      </w:r>
      <w:r>
        <w:t xml:space="preserve">maintains the highest level of integrity and professional skepticism required by the Turkish Capital Markets Board (CMB) and local commercial laws. The review covers a sample of audit engagements conducted in the Ankara metropolitan area, focusing on financial statement audits for entities subject to Turkish Accounting Standards (TFRS).</w:t>
      </w:r>
    </w:p>
    <w:bookmarkEnd w:id="21"/>
    <w:bookmarkStart w:id="22" w:name="scope-and-methodology"/>
    <w:p>
      <w:pPr>
        <w:pStyle w:val="Heading2"/>
      </w:pPr>
      <w:r>
        <w:t xml:space="preserve">2. Scope and Methodology</w:t>
      </w:r>
    </w:p>
    <w:p>
      <w:pPr>
        <w:pStyle w:val="FirstParagraph"/>
      </w:pPr>
      <w:r>
        <w:t xml:space="preserve">The scope of this</w:t>
      </w:r>
      <w:r>
        <w:t xml:space="preserve"> </w:t>
      </w:r>
      <w:r>
        <w:rPr>
          <w:bCs/>
          <w:b/>
        </w:rPr>
        <w:t xml:space="preserve">Peer Review Report</w:t>
      </w:r>
      <w:r>
        <w:t xml:space="preserve"> </w:t>
      </w:r>
      <w:r>
        <w:t xml:space="preserve">encompasses the evaluation of the</w:t>
      </w:r>
      <w:r>
        <w:t xml:space="preserve"> </w:t>
      </w:r>
      <w:r>
        <w:rPr>
          <w:bCs/>
          <w:b/>
        </w:rPr>
        <w:t xml:space="preserve">Auditor</w:t>
      </w:r>
      <w:r>
        <w:t xml:space="preserve">'s internal quality control systems, risk assessment procedures, and the execution of audit fieldwork. The methodology involved a detailed examination of audit working papers, client correspondence, and final audit reports generated during the review period.</w:t>
      </w:r>
    </w:p>
    <w:p>
      <w:pPr>
        <w:pStyle w:val="BodyText"/>
      </w:pPr>
      <w:r>
        <w:t xml:space="preserve">Special attention was paid to the</w:t>
      </w:r>
      <w:r>
        <w:t xml:space="preserve"> </w:t>
      </w:r>
      <w:r>
        <w:rPr>
          <w:bCs/>
          <w:b/>
        </w:rPr>
        <w:t xml:space="preserve">Auditor</w:t>
      </w:r>
      <w:r>
        <w:t xml:space="preserve">'s compliance with the Turkish Commercial Code (TCC) and the specific regulatory environment of</w:t>
      </w:r>
      <w:r>
        <w:t xml:space="preserve"> </w:t>
      </w:r>
      <w:r>
        <w:rPr>
          <w:bCs/>
          <w:b/>
        </w:rPr>
        <w:t xml:space="preserve">Turkey, Ankara</w:t>
      </w:r>
      <w:r>
        <w:t xml:space="preserve">, where a significant portion of the nation's corporate headquarters and government institutions are located. The review team analyzed the</w:t>
      </w:r>
      <w:r>
        <w:t xml:space="preserve"> </w:t>
      </w:r>
      <w:r>
        <w:rPr>
          <w:bCs/>
          <w:b/>
        </w:rPr>
        <w:t xml:space="preserve">Auditor</w:t>
      </w:r>
      <w:r>
        <w:t xml:space="preserve">'s approach to materiality, internal control testing, and the documentation of audit evidence.</w:t>
      </w:r>
    </w:p>
    <w:bookmarkEnd w:id="22"/>
    <w:bookmarkStart w:id="25" w:name="evaluation-of-professional-competence"/>
    <w:p>
      <w:pPr>
        <w:pStyle w:val="Heading2"/>
      </w:pPr>
      <w:r>
        <w:t xml:space="preserve">3. Evaluation of Professional Competence</w:t>
      </w:r>
    </w:p>
    <w:bookmarkStart w:id="23" w:name="technical-knowledge-and-application"/>
    <w:p>
      <w:pPr>
        <w:pStyle w:val="Heading3"/>
      </w:pPr>
      <w:r>
        <w:t xml:space="preserve">3.1 Technical Knowledge and Application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Auditor</w:t>
      </w:r>
      <w:r>
        <w:t xml:space="preserve"> </w:t>
      </w:r>
      <w:r>
        <w:t xml:space="preserve">demonstrated a robust understanding of the Turkish Financial Reporting Standards (TFRS) and their alignment with International Financial Reporting Standards (IFRS). In the context of</w:t>
      </w:r>
      <w:r>
        <w:t xml:space="preserve"> </w:t>
      </w:r>
      <w:r>
        <w:rPr>
          <w:bCs/>
          <w:b/>
        </w:rPr>
        <w:t xml:space="preserve">Turkey, Ankara</w:t>
      </w:r>
      <w:r>
        <w:t xml:space="preserve">, where complex corporate structures and state-owned enterprises are prevalent, the</w:t>
      </w:r>
      <w:r>
        <w:t xml:space="preserve"> </w:t>
      </w:r>
      <w:r>
        <w:rPr>
          <w:bCs/>
          <w:b/>
        </w:rPr>
        <w:t xml:space="preserve">Auditor</w:t>
      </w:r>
      <w:r>
        <w:t xml:space="preserve"> </w:t>
      </w:r>
      <w:r>
        <w:t xml:space="preserve">showed proficiency in handling consolidation issues and related party disclosures.</w:t>
      </w:r>
    </w:p>
    <w:p>
      <w:pPr>
        <w:pStyle w:val="BodyText"/>
      </w:pPr>
      <w:r>
        <w:t xml:space="preserve">However, the</w:t>
      </w:r>
      <w:r>
        <w:t xml:space="preserve"> </w:t>
      </w:r>
      <w:r>
        <w:rPr>
          <w:bCs/>
          <w:b/>
        </w:rPr>
        <w:t xml:space="preserve">Peer Review Report</w:t>
      </w:r>
      <w:r>
        <w:t xml:space="preserve"> </w:t>
      </w:r>
      <w:r>
        <w:t xml:space="preserve">identified minor inconsistencies in the application of impairment testing for non-financial assets. While the overall methodology was sound, the documentation regarding the sensitivity analysis of key assumptions could be strengthened to better withstand regulatory scrutiny.</w:t>
      </w:r>
    </w:p>
    <w:bookmarkEnd w:id="23"/>
    <w:bookmarkStart w:id="24" w:name="risk-assessment-and-audit-planning"/>
    <w:p>
      <w:pPr>
        <w:pStyle w:val="Heading3"/>
      </w:pPr>
      <w:r>
        <w:t xml:space="preserve">3.2 Risk Assessment and Audit Planning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Auditor</w:t>
      </w:r>
      <w:r>
        <w:t xml:space="preserve">'s risk assessment process was found to be generally effective. The identification of significant risks, particularly those related to revenue recognition and inventory valuation, was thorough. The audit plans reviewed reflected a clear understanding of the business environments of clients based in</w:t>
      </w:r>
      <w:r>
        <w:t xml:space="preserve"> </w:t>
      </w:r>
      <w:r>
        <w:rPr>
          <w:bCs/>
          <w:b/>
        </w:rPr>
        <w:t xml:space="preserve">Turkey, Ankara</w:t>
      </w:r>
      <w:r>
        <w:t xml:space="preserve">.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bCs/>
          <w:b/>
        </w:rPr>
        <w:t xml:space="preserve">Peer Review Report</w:t>
      </w:r>
      <w:r>
        <w:t xml:space="preserve"> </w:t>
      </w:r>
      <w:r>
        <w:t xml:space="preserve">notes that the</w:t>
      </w:r>
      <w:r>
        <w:t xml:space="preserve"> </w:t>
      </w:r>
      <w:r>
        <w:rPr>
          <w:bCs/>
          <w:b/>
        </w:rPr>
        <w:t xml:space="preserve">Auditor</w:t>
      </w:r>
      <w:r>
        <w:t xml:space="preserve"> </w:t>
      </w:r>
      <w:r>
        <w:t xml:space="preserve">effectively utilized data analytics to identify anomalies in transactional data. This proactive approach aligns with modern auditing practices and enhances the reliability of the audit opinion.</w:t>
      </w:r>
    </w:p>
    <w:bookmarkEnd w:id="24"/>
    <w:bookmarkEnd w:id="25"/>
    <w:bookmarkStart w:id="26" w:name="ethical-standards-and-independence"/>
    <w:p>
      <w:pPr>
        <w:pStyle w:val="Heading2"/>
      </w:pPr>
      <w:r>
        <w:t xml:space="preserve">4. Ethical Standards and Independence</w:t>
      </w:r>
    </w:p>
    <w:p>
      <w:pPr>
        <w:pStyle w:val="FirstParagraph"/>
      </w:pPr>
      <w:r>
        <w:t xml:space="preserve">A critical component of this</w:t>
      </w:r>
      <w:r>
        <w:t xml:space="preserve"> </w:t>
      </w:r>
      <w:r>
        <w:rPr>
          <w:bCs/>
          <w:b/>
        </w:rPr>
        <w:t xml:space="preserve">Peer Review Report</w:t>
      </w:r>
      <w:r>
        <w:t xml:space="preserve"> </w:t>
      </w:r>
      <w:r>
        <w:t xml:space="preserve">is the assessment of the</w:t>
      </w:r>
      <w:r>
        <w:t xml:space="preserve"> </w:t>
      </w:r>
      <w:r>
        <w:rPr>
          <w:bCs/>
          <w:b/>
        </w:rPr>
        <w:t xml:space="preserve">Auditor</w:t>
      </w:r>
      <w:r>
        <w:t xml:space="preserve">'s adherence to ethical principles. The review confirmed that the</w:t>
      </w:r>
      <w:r>
        <w:t xml:space="preserve"> </w:t>
      </w:r>
      <w:r>
        <w:rPr>
          <w:bCs/>
          <w:b/>
        </w:rPr>
        <w:t xml:space="preserve">Auditor</w:t>
      </w:r>
      <w:r>
        <w:t xml:space="preserve"> </w:t>
      </w:r>
      <w:r>
        <w:t xml:space="preserve">maintained independence in both fact and appearance, in compliance with the Code of Ethics for Professional Accountants in Turkey.</w:t>
      </w:r>
    </w:p>
    <w:p>
      <w:pPr>
        <w:pStyle w:val="BodyText"/>
      </w:pPr>
      <w:r>
        <w:t xml:space="preserve">No conflicts of interest were identified in the sampled engagements. The</w:t>
      </w:r>
      <w:r>
        <w:t xml:space="preserve"> </w:t>
      </w:r>
      <w:r>
        <w:rPr>
          <w:bCs/>
          <w:b/>
        </w:rPr>
        <w:t xml:space="preserve">Auditor</w:t>
      </w:r>
      <w:r>
        <w:t xml:space="preserve"> </w:t>
      </w:r>
      <w:r>
        <w:t xml:space="preserve">properly documented consultations regarding ethical dilemmas and ensured that non-audit services provided to audit clients did not impair independence. This is particularly important in the close-knit business community of</w:t>
      </w:r>
      <w:r>
        <w:t xml:space="preserve"> </w:t>
      </w:r>
      <w:r>
        <w:rPr>
          <w:bCs/>
          <w:b/>
        </w:rPr>
        <w:t xml:space="preserve">Turkey, Ankara</w:t>
      </w:r>
      <w:r>
        <w:t xml:space="preserve">, where maintaining professional boundaries is essential.</w:t>
      </w:r>
    </w:p>
    <w:bookmarkEnd w:id="26"/>
    <w:bookmarkStart w:id="27" w:name="quality-control-and-documentation"/>
    <w:p>
      <w:pPr>
        <w:pStyle w:val="Heading2"/>
      </w:pPr>
      <w:r>
        <w:t xml:space="preserve">5. Quality Control and Documentation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Auditor</w:t>
      </w:r>
      <w:r>
        <w:t xml:space="preserve">'s documentation practices were evaluated against the requirements of ISA 230 (Audit Documentation). The working papers were generally well-organized, complete, and provided sufficient evidence to support the audit conclusions.</w:t>
      </w:r>
    </w:p>
    <w:p>
      <w:pPr>
        <w:pStyle w:val="BodyText"/>
      </w:pPr>
      <w:r>
        <w:t xml:space="preserve">However, the</w:t>
      </w:r>
      <w:r>
        <w:t xml:space="preserve"> </w:t>
      </w:r>
      <w:r>
        <w:rPr>
          <w:bCs/>
          <w:b/>
        </w:rPr>
        <w:t xml:space="preserve">Peer Review Report</w:t>
      </w:r>
      <w:r>
        <w:t xml:space="preserve"> </w:t>
      </w:r>
      <w:r>
        <w:t xml:space="preserve">recommends improvements in the timeliness of documentation completion. In several instances, working papers were finalized shortly before the submission of the audit report, which may indicate a lack of real-time quality control. Implementing a more rigorous review process during the fieldwork phase would enhance the overall quality of the audit.</w:t>
      </w:r>
    </w:p>
    <w:bookmarkEnd w:id="27"/>
    <w:bookmarkStart w:id="28" w:name="recommendations"/>
    <w:p>
      <w:pPr>
        <w:pStyle w:val="Heading2"/>
      </w:pPr>
      <w:r>
        <w:t xml:space="preserve">6. Recommendations</w:t>
      </w:r>
    </w:p>
    <w:p>
      <w:pPr>
        <w:pStyle w:val="FirstParagraph"/>
      </w:pPr>
      <w:r>
        <w:t xml:space="preserve">Based on the findings of this</w:t>
      </w:r>
      <w:r>
        <w:t xml:space="preserve"> </w:t>
      </w:r>
      <w:r>
        <w:rPr>
          <w:bCs/>
          <w:b/>
        </w:rPr>
        <w:t xml:space="preserve">Peer Review Report</w:t>
      </w:r>
      <w:r>
        <w:t xml:space="preserve">, the following recommendations are made for the</w:t>
      </w:r>
      <w:r>
        <w:t xml:space="preserve"> </w:t>
      </w:r>
      <w:r>
        <w:rPr>
          <w:bCs/>
          <w:b/>
        </w:rPr>
        <w:t xml:space="preserve">Auditor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Enhance Documentation of Impairment Testing:</w:t>
      </w:r>
      <w:r>
        <w:t xml:space="preserve"> </w:t>
      </w:r>
      <w:r>
        <w:t xml:space="preserve">Provide more detailed documentation regarding the assumptions and sensitivity analyses used in impairment testing, particularly for clients operating in volatile sectors within</w:t>
      </w:r>
      <w:r>
        <w:t xml:space="preserve"> </w:t>
      </w:r>
      <w:r>
        <w:rPr>
          <w:bCs/>
          <w:b/>
        </w:rPr>
        <w:t xml:space="preserve">Turkey, Ankara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Strengthen Real-Time Quality Control:</w:t>
      </w:r>
      <w:r>
        <w:t xml:space="preserve"> </w:t>
      </w:r>
      <w:r>
        <w:t xml:space="preserve">Implement interim reviews of working papers to ensure that documentation is completed contemporaneously with the audit procedures.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Continuous Professional Development:</w:t>
      </w:r>
      <w:r>
        <w:t xml:space="preserve"> </w:t>
      </w:r>
      <w:r>
        <w:t xml:space="preserve">Encourage the audit team to engage in ongoing training regarding updates to Turkish Accounting Standards and regulatory changes specific to the Ankara region.</w:t>
      </w:r>
    </w:p>
    <w:bookmarkEnd w:id="28"/>
    <w:bookmarkStart w:id="29" w:name="conclusion"/>
    <w:p>
      <w:pPr>
        <w:pStyle w:val="Heading2"/>
      </w:pPr>
      <w:r>
        <w:t xml:space="preserve">7. Conclusion</w:t>
      </w:r>
    </w:p>
    <w:p>
      <w:pPr>
        <w:pStyle w:val="FirstParagraph"/>
      </w:pPr>
      <w:r>
        <w:t xml:space="preserve">In conclusion, this</w:t>
      </w:r>
      <w:r>
        <w:t xml:space="preserve"> </w:t>
      </w:r>
      <w:r>
        <w:rPr>
          <w:bCs/>
          <w:b/>
        </w:rPr>
        <w:t xml:space="preserve">Peer Review Report</w:t>
      </w:r>
      <w:r>
        <w:t xml:space="preserve"> </w:t>
      </w:r>
      <w:r>
        <w:t xml:space="preserve">finds that the</w:t>
      </w:r>
      <w:r>
        <w:t xml:space="preserve"> </w:t>
      </w:r>
      <w:r>
        <w:rPr>
          <w:bCs/>
          <w:b/>
        </w:rPr>
        <w:t xml:space="preserve">Auditor</w:t>
      </w:r>
      <w:r>
        <w:t xml:space="preserve"> </w:t>
      </w:r>
      <w:r>
        <w:t xml:space="preserve">operates at a high level of professional competence and adheres to the ethical and technical standards required in</w:t>
      </w:r>
      <w:r>
        <w:t xml:space="preserve"> </w:t>
      </w:r>
      <w:r>
        <w:rPr>
          <w:bCs/>
          <w:b/>
        </w:rPr>
        <w:t xml:space="preserve">Turkey, Ankara</w:t>
      </w:r>
      <w:r>
        <w:t xml:space="preserve">. While there are areas for improvement, particularly in documentation practices and the depth of certain technical analyses, the overall quality of the audit work is satisfactory.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bCs/>
          <w:b/>
        </w:rPr>
        <w:t xml:space="preserve">Auditor</w:t>
      </w:r>
      <w:r>
        <w:t xml:space="preserve"> </w:t>
      </w:r>
      <w:r>
        <w:t xml:space="preserve">is encouraged to implement the recommendations outlined in this report to further enhance the quality of their audit services and maintain the trust of stakeholders in the Turkish capital markets.</w:t>
      </w:r>
    </w:p>
    <w:bookmarkEnd w:id="29"/>
    <w:p>
      <w:pPr>
        <w:pStyle w:val="BodyText"/>
      </w:pPr>
      <w:r>
        <w:rPr>
          <w:bCs/>
          <w:b/>
        </w:rPr>
        <w:t xml:space="preserve">Prepared by:</w:t>
      </w:r>
    </w:p>
    <w:p>
      <w:pPr>
        <w:pStyle w:val="BodyText"/>
      </w:pPr>
      <w:r>
        <w:rPr>
          <w:bCs/>
          <w:b/>
        </w:rPr>
        <w:t xml:space="preserve">Dr. Ahmet Yilmaz</w:t>
      </w:r>
      <w:r>
        <w:br/>
      </w:r>
      <w:r>
        <w:t xml:space="preserve">Lead Peer Reviewer</w:t>
      </w:r>
      <w:r>
        <w:br/>
      </w:r>
      <w:r>
        <w:t xml:space="preserve">Independent Quality Assurance Committee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Reviewed and Approved by:</w:t>
      </w:r>
    </w:p>
    <w:p>
      <w:pPr>
        <w:pStyle w:val="BodyText"/>
      </w:pPr>
      <w:r>
        <w:rPr>
          <w:bCs/>
          <w:b/>
        </w:rPr>
        <w:t xml:space="preserve">Prof. Elif Kaya</w:t>
      </w:r>
      <w:r>
        <w:br/>
      </w:r>
      <w:r>
        <w:t xml:space="preserve">Chairperson, Peer Review Board</w:t>
      </w:r>
      <w:r>
        <w:br/>
      </w:r>
      <w:r>
        <w:t xml:space="preserve">Turkey, Ankara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Peer Review Report: Auditor Performance Assessment</dc:title>
  <dc:creator/>
  <dc:language>en</dc:language>
  <cp:keywords/>
  <dcterms:created xsi:type="dcterms:W3CDTF">2026-10-10T07:21:16Z</dcterms:created>
  <dcterms:modified xsi:type="dcterms:W3CDTF">2026-10-10T07:21:16Z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