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Evaluation</w:t>
      </w:r>
      <w:r>
        <w:t xml:space="preserve"> </w:t>
      </w:r>
      <w:r>
        <w:t xml:space="preserve">-</w:t>
      </w:r>
      <w:r>
        <w:t xml:space="preserve"> </w:t>
      </w:r>
      <w:r>
        <w:t xml:space="preserve">Turkey</w:t>
      </w:r>
      <w:r>
        <w:t xml:space="preserve"> </w:t>
      </w:r>
      <w:r>
        <w:t xml:space="preserve">Istanbul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Quality Assurance of the Auditor</w:t>
      </w:r>
    </w:p>
    <w:p>
      <w:pPr>
        <w:pStyle w:val="BodyText"/>
      </w:pPr>
      <w:r>
        <w:rPr>
          <w:bCs/>
          <w:b/>
        </w:rPr>
        <w:t xml:space="preserve">Location:</w:t>
      </w:r>
      <w:r>
        <w:t xml:space="preserve"> </w:t>
      </w:r>
      <w:r>
        <w:t xml:space="preserve">Turkey Istanbul</w:t>
      </w:r>
    </w:p>
    <w:bookmarkEnd w:id="20"/>
    <w:p>
      <w:pPr>
        <w:pStyle w:val="BodyText"/>
      </w:pPr>
      <w:r>
        <w:rPr>
          <w:bCs/>
          <w:b/>
        </w:rPr>
        <w:t xml:space="preserve">Report ID:</w:t>
      </w:r>
      <w:r>
        <w:t xml:space="preserve"> </w:t>
      </w:r>
      <w:r>
        <w:t xml:space="preserve">TR-IST-PR-2023-089</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prepared to evaluate the professional performance, technical competence, and adherence to quality standards of the designated</w:t>
      </w:r>
      <w:r>
        <w:t xml:space="preserve"> </w:t>
      </w:r>
      <w:r>
        <w:rPr>
          <w:bCs/>
          <w:b/>
        </w:rPr>
        <w:t xml:space="preserve">Auditor</w:t>
      </w:r>
      <w:r>
        <w:t xml:space="preserve"> </w:t>
      </w:r>
      <w:r>
        <w:t xml:space="preserve">operating within the financial district of</w:t>
      </w:r>
      <w:r>
        <w:t xml:space="preserve"> </w:t>
      </w:r>
      <w:r>
        <w:rPr>
          <w:bCs/>
          <w:b/>
        </w:rPr>
        <w:t xml:space="preserve">Turkey Istanbul</w:t>
      </w:r>
      <w:r>
        <w:t xml:space="preserve">. The review was conducted in accordance with the International Standards on Auditing (ISA) and the specific regulatory requirements set forth by the Public Oversight, Accounting and Auditing Standards Authority (POAAS) of Turkey.</w:t>
      </w:r>
    </w:p>
    <w:p>
      <w:pPr>
        <w:pStyle w:val="BodyText"/>
      </w:pPr>
      <w:r>
        <w:t xml:space="preserve">Istanbul, as the economic hub of Turkey, presents a complex environment for auditing due to the high volume of cross-border transactions, diverse corporate structures, and stringent local compliance mandates. This report assesses how effectively the</w:t>
      </w:r>
      <w:r>
        <w:t xml:space="preserve"> </w:t>
      </w:r>
      <w:r>
        <w:rPr>
          <w:bCs/>
          <w:b/>
        </w:rPr>
        <w:t xml:space="preserve">Auditor</w:t>
      </w:r>
      <w:r>
        <w:t xml:space="preserve"> </w:t>
      </w:r>
      <w:r>
        <w:t xml:space="preserve">navigates these challenges while maintaining the integrity required of a public accountant in this jurisdiction.</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encompasses a detailed examination of three completed audit engagements handled by the</w:t>
      </w:r>
      <w:r>
        <w:t xml:space="preserve"> </w:t>
      </w:r>
      <w:r>
        <w:rPr>
          <w:bCs/>
          <w:b/>
        </w:rPr>
        <w:t xml:space="preserve">Auditor</w:t>
      </w:r>
      <w:r>
        <w:t xml:space="preserve"> </w:t>
      </w:r>
      <w:r>
        <w:t xml:space="preserve">during the review period. These engagements included entities operating in the manufacturing, logistics, and technology sectors, all headquartered in</w:t>
      </w:r>
      <w:r>
        <w:t xml:space="preserve"> </w:t>
      </w:r>
      <w:r>
        <w:rPr>
          <w:bCs/>
          <w:b/>
        </w:rPr>
        <w:t xml:space="preserve">Turkey Istanbul</w:t>
      </w:r>
      <w:r>
        <w:t xml:space="preserve">.</w:t>
      </w:r>
    </w:p>
    <w:p>
      <w:pPr>
        <w:pStyle w:val="BodyText"/>
      </w:pPr>
      <w:r>
        <w:t xml:space="preserve">The methodology involved:</w:t>
      </w:r>
    </w:p>
    <w:p>
      <w:pPr>
        <w:numPr>
          <w:ilvl w:val="0"/>
          <w:numId w:val="1001"/>
        </w:numPr>
        <w:pStyle w:val="Compact"/>
      </w:pPr>
      <w:r>
        <w:t xml:space="preserve">Reviewing audit working papers for completeness and accuracy.</w:t>
      </w:r>
    </w:p>
    <w:p>
      <w:pPr>
        <w:numPr>
          <w:ilvl w:val="0"/>
          <w:numId w:val="1001"/>
        </w:numPr>
        <w:pStyle w:val="Compact"/>
      </w:pPr>
      <w:r>
        <w:t xml:space="preserve">Assessing the</w:t>
      </w:r>
      <w:r>
        <w:t xml:space="preserve"> </w:t>
      </w:r>
      <w:r>
        <w:rPr>
          <w:bCs/>
          <w:b/>
        </w:rPr>
        <w:t xml:space="preserve">Auditor</w:t>
      </w:r>
      <w:r>
        <w:t xml:space="preserve">'s application of Turkish Accounting Standards (TFRS) and local tax regulations.</w:t>
      </w:r>
    </w:p>
    <w:p>
      <w:pPr>
        <w:numPr>
          <w:ilvl w:val="0"/>
          <w:numId w:val="1001"/>
        </w:numPr>
        <w:pStyle w:val="Compact"/>
      </w:pPr>
      <w:r>
        <w:t xml:space="preserve">Evaluating the independence and objectivity of the</w:t>
      </w:r>
      <w:r>
        <w:t xml:space="preserve"> </w:t>
      </w:r>
      <w:r>
        <w:rPr>
          <w:bCs/>
          <w:b/>
        </w:rPr>
        <w:t xml:space="preserve">Auditor</w:t>
      </w:r>
      <w:r>
        <w:t xml:space="preserve"> </w:t>
      </w:r>
      <w:r>
        <w:t xml:space="preserve">in accordance with the Code of Ethics for Professional Accountants.</w:t>
      </w:r>
    </w:p>
    <w:p>
      <w:pPr>
        <w:numPr>
          <w:ilvl w:val="0"/>
          <w:numId w:val="1001"/>
        </w:numPr>
        <w:pStyle w:val="Compact"/>
      </w:pPr>
      <w:r>
        <w:t xml:space="preserve">Interviewing the</w:t>
      </w:r>
      <w:r>
        <w:t xml:space="preserve"> </w:t>
      </w:r>
      <w:r>
        <w:rPr>
          <w:bCs/>
          <w:b/>
        </w:rPr>
        <w:t xml:space="preserve">Auditor</w:t>
      </w:r>
      <w:r>
        <w:t xml:space="preserve"> </w:t>
      </w:r>
      <w:r>
        <w:t xml:space="preserve">regarding their risk assessment strategies specific to the Istanbul market.</w:t>
      </w:r>
    </w:p>
    <w:bookmarkEnd w:id="22"/>
    <w:bookmarkStart w:id="23" w:name="X486ee851b43c2a0f6f04c5d7ce3a716610bf44a"/>
    <w:p>
      <w:pPr>
        <w:pStyle w:val="Heading2"/>
      </w:pPr>
      <w:r>
        <w:t xml:space="preserve">3. Technical Competence and Standards Compliance</w:t>
      </w:r>
    </w:p>
    <w:p>
      <w:pPr>
        <w:pStyle w:val="FirstParagraph"/>
      </w:pPr>
      <w:r>
        <w:t xml:space="preserve">The primary focus of this</w:t>
      </w:r>
      <w:r>
        <w:t xml:space="preserve"> </w:t>
      </w:r>
      <w:r>
        <w:rPr>
          <w:bCs/>
          <w:b/>
        </w:rPr>
        <w:t xml:space="preserve">Peer Review Report</w:t>
      </w:r>
      <w:r>
        <w:t xml:space="preserve"> </w:t>
      </w:r>
      <w:r>
        <w:t xml:space="preserve">is the technical proficiency of the</w:t>
      </w:r>
      <w:r>
        <w:t xml:space="preserve"> </w:t>
      </w:r>
      <w:r>
        <w:rPr>
          <w:bCs/>
          <w:b/>
        </w:rPr>
        <w:t xml:space="preserve">Auditor</w:t>
      </w:r>
      <w:r>
        <w:t xml:space="preserve">. The review confirms that the</w:t>
      </w:r>
      <w:r>
        <w:t xml:space="preserve"> </w:t>
      </w:r>
      <w:r>
        <w:rPr>
          <w:bCs/>
          <w:b/>
        </w:rPr>
        <w:t xml:space="preserve">Auditor</w:t>
      </w:r>
      <w:r>
        <w:t xml:space="preserve"> </w:t>
      </w:r>
      <w:r>
        <w:t xml:space="preserve">demonstrates a robust understanding of the International Financial Reporting Standards (IFRS) as adopted in Turkey. Specifically, the treatment of revenue recognition and lease accounting in the reviewed files was accurate and well-documented.</w:t>
      </w:r>
    </w:p>
    <w:p>
      <w:pPr>
        <w:pStyle w:val="BodyText"/>
      </w:pPr>
      <w:r>
        <w:t xml:space="preserve">Given the location in</w:t>
      </w:r>
      <w:r>
        <w:t xml:space="preserve"> </w:t>
      </w:r>
      <w:r>
        <w:rPr>
          <w:bCs/>
          <w:b/>
        </w:rPr>
        <w:t xml:space="preserve">Turkey Istanbul</w:t>
      </w:r>
      <w:r>
        <w:t xml:space="preserve">, the</w:t>
      </w:r>
      <w:r>
        <w:t xml:space="preserve"> </w:t>
      </w:r>
      <w:r>
        <w:rPr>
          <w:bCs/>
          <w:b/>
        </w:rPr>
        <w:t xml:space="preserve">Auditor</w:t>
      </w:r>
      <w:r>
        <w:t xml:space="preserve"> </w:t>
      </w:r>
      <w:r>
        <w:t xml:space="preserve">was required to demonstrate proficiency in navigating the Turkish Commercial Code (TCC) and the regulations of the Capital Markets Board (CMB). The</w:t>
      </w:r>
      <w:r>
        <w:t xml:space="preserve"> </w:t>
      </w:r>
      <w:r>
        <w:rPr>
          <w:bCs/>
          <w:b/>
        </w:rPr>
        <w:t xml:space="preserve">Auditor</w:t>
      </w:r>
      <w:r>
        <w:t xml:space="preserve"> </w:t>
      </w:r>
      <w:r>
        <w:t xml:space="preserve">successfully identified material misstatements related to foreign currency translation, a critical issue for Istanbul-based firms dealing with volatile exchange rates. The working papers reflect a thorough analysis of hedging instruments and foreign exchange exposure, indicating a high level of technical competence.</w:t>
      </w:r>
    </w:p>
    <w:bookmarkEnd w:id="23"/>
    <w:bookmarkStart w:id="24" w:name="risk-assessment-and-internal-controls"/>
    <w:p>
      <w:pPr>
        <w:pStyle w:val="Heading2"/>
      </w:pPr>
      <w:r>
        <w:t xml:space="preserve">4. Risk Assessment and Internal Controls</w:t>
      </w:r>
    </w:p>
    <w:p>
      <w:pPr>
        <w:pStyle w:val="FirstParagraph"/>
      </w:pPr>
      <w:r>
        <w:t xml:space="preserve">A critical component of any audit in a major financial center like</w:t>
      </w:r>
      <w:r>
        <w:t xml:space="preserve"> </w:t>
      </w:r>
      <w:r>
        <w:rPr>
          <w:bCs/>
          <w:b/>
        </w:rPr>
        <w:t xml:space="preserve">Turkey Istanbul</w:t>
      </w:r>
      <w:r>
        <w:t xml:space="preserve"> </w:t>
      </w:r>
      <w:r>
        <w:t xml:space="preserve">is the assessment of fraud risk and internal control systems. This</w:t>
      </w:r>
      <w:r>
        <w:t xml:space="preserve"> </w:t>
      </w:r>
      <w:r>
        <w:rPr>
          <w:bCs/>
          <w:b/>
        </w:rPr>
        <w:t xml:space="preserve">Peer Review Report</w:t>
      </w:r>
      <w:r>
        <w:t xml:space="preserve"> </w:t>
      </w:r>
      <w:r>
        <w:t xml:space="preserve">highlights that the</w:t>
      </w:r>
      <w:r>
        <w:t xml:space="preserve"> </w:t>
      </w:r>
      <w:r>
        <w:rPr>
          <w:bCs/>
          <w:b/>
        </w:rPr>
        <w:t xml:space="preserve">Auditor</w:t>
      </w:r>
      <w:r>
        <w:t xml:space="preserve"> </w:t>
      </w:r>
      <w:r>
        <w:t xml:space="preserve">employed a risk-based approach effectively. The</w:t>
      </w:r>
      <w:r>
        <w:t xml:space="preserve"> </w:t>
      </w:r>
      <w:r>
        <w:rPr>
          <w:bCs/>
          <w:b/>
        </w:rPr>
        <w:t xml:space="preserve">Auditor</w:t>
      </w:r>
      <w:r>
        <w:t xml:space="preserve"> </w:t>
      </w:r>
      <w:r>
        <w:t xml:space="preserve">correctly identified high-risk areas, including related-party transactions and inventory valuation, which are prevalent concerns in the region.</w:t>
      </w:r>
    </w:p>
    <w:p>
      <w:pPr>
        <w:pStyle w:val="BodyText"/>
      </w:pPr>
      <w:r>
        <w:t xml:space="preserve">The</w:t>
      </w:r>
      <w:r>
        <w:t xml:space="preserve"> </w:t>
      </w:r>
      <w:r>
        <w:rPr>
          <w:bCs/>
          <w:b/>
        </w:rPr>
        <w:t xml:space="preserve">Auditor</w:t>
      </w:r>
      <w:r>
        <w:t xml:space="preserve"> </w:t>
      </w:r>
      <w:r>
        <w:t xml:space="preserve">conducted substantive testing that was proportionate to the assessed risks. For instance, in the logistics sector engagement, the</w:t>
      </w:r>
      <w:r>
        <w:t xml:space="preserve"> </w:t>
      </w:r>
      <w:r>
        <w:rPr>
          <w:bCs/>
          <w:b/>
        </w:rPr>
        <w:t xml:space="preserve">Auditor</w:t>
      </w:r>
      <w:r>
        <w:t xml:space="preserve"> </w:t>
      </w:r>
      <w:r>
        <w:t xml:space="preserve">performed detailed physical inventory counts and verified shipping documents against customs records, ensuring compliance with local trade laws. This attention to detail is essential for maintaining the credibility of the audit opinion in the eyes of stakeholders in Istanbul.</w:t>
      </w:r>
    </w:p>
    <w:bookmarkEnd w:id="24"/>
    <w:bookmarkStart w:id="25" w:name="professional-ethics-and-independence"/>
    <w:p>
      <w:pPr>
        <w:pStyle w:val="Heading2"/>
      </w:pPr>
      <w:r>
        <w:t xml:space="preserve">5. Professional Ethics and Independence</w:t>
      </w:r>
    </w:p>
    <w:p>
      <w:pPr>
        <w:pStyle w:val="FirstParagraph"/>
      </w:pPr>
      <w:r>
        <w:t xml:space="preserve">Integrity is the cornerstone of the auditing profession. This</w:t>
      </w:r>
      <w:r>
        <w:t xml:space="preserve"> </w:t>
      </w:r>
      <w:r>
        <w:rPr>
          <w:bCs/>
          <w:b/>
        </w:rPr>
        <w:t xml:space="preserve">Peer Review Report</w:t>
      </w:r>
      <w:r>
        <w:t xml:space="preserve"> </w:t>
      </w:r>
      <w:r>
        <w:t xml:space="preserve">confirms that the</w:t>
      </w:r>
      <w:r>
        <w:t xml:space="preserve"> </w:t>
      </w:r>
      <w:r>
        <w:rPr>
          <w:bCs/>
          <w:b/>
        </w:rPr>
        <w:t xml:space="preserve">Auditor</w:t>
      </w:r>
      <w:r>
        <w:t xml:space="preserve"> </w:t>
      </w:r>
      <w:r>
        <w:t xml:space="preserve">maintained strict independence throughout the engagements. There were no conflicts of interest identified, and the</w:t>
      </w:r>
      <w:r>
        <w:t xml:space="preserve"> </w:t>
      </w:r>
      <w:r>
        <w:rPr>
          <w:bCs/>
          <w:b/>
        </w:rPr>
        <w:t xml:space="preserve">Auditor</w:t>
      </w:r>
      <w:r>
        <w:t xml:space="preserve"> </w:t>
      </w:r>
      <w:r>
        <w:t xml:space="preserve">adhered to the ethical guidelines mandated by the Turkish Chamber of Certified Public Accountants (TÜRMOB).</w:t>
      </w:r>
    </w:p>
    <w:p>
      <w:pPr>
        <w:pStyle w:val="BodyText"/>
      </w:pPr>
      <w:r>
        <w:t xml:space="preserve">The</w:t>
      </w:r>
      <w:r>
        <w:t xml:space="preserve"> </w:t>
      </w:r>
      <w:r>
        <w:rPr>
          <w:bCs/>
          <w:b/>
        </w:rPr>
        <w:t xml:space="preserve">Auditor</w:t>
      </w:r>
      <w:r>
        <w:t xml:space="preserve"> </w:t>
      </w:r>
      <w:r>
        <w:t xml:space="preserve">demonstrated professional skepticism, particularly when management assertions conflicted with external evidence. This is vital in the dynamic business environment of</w:t>
      </w:r>
      <w:r>
        <w:t xml:space="preserve"> </w:t>
      </w:r>
      <w:r>
        <w:rPr>
          <w:bCs/>
          <w:b/>
        </w:rPr>
        <w:t xml:space="preserve">Turkey Istanbul</w:t>
      </w:r>
      <w:r>
        <w:t xml:space="preserve">, where pressure to present favorable financial results can be significant. The</w:t>
      </w:r>
      <w:r>
        <w:t xml:space="preserve"> </w:t>
      </w:r>
      <w:r>
        <w:rPr>
          <w:bCs/>
          <w:b/>
        </w:rPr>
        <w:t xml:space="preserve">Auditor</w:t>
      </w:r>
      <w:r>
        <w:t xml:space="preserve">'s ability to remain objective and challenge management assumptions strengthens the reliability of the financial statements issued.</w:t>
      </w:r>
    </w:p>
    <w:bookmarkEnd w:id="25"/>
    <w:bookmarkStart w:id="26" w:name="documentation-and-reporting-quality"/>
    <w:p>
      <w:pPr>
        <w:pStyle w:val="Heading2"/>
      </w:pPr>
      <w:r>
        <w:t xml:space="preserve">6. Documentation and Reporting Quality</w:t>
      </w:r>
    </w:p>
    <w:p>
      <w:pPr>
        <w:pStyle w:val="FirstParagraph"/>
      </w:pPr>
      <w:r>
        <w:t xml:space="preserve">The quality of audit documentation is a key indicator of audit quality. This</w:t>
      </w:r>
      <w:r>
        <w:t xml:space="preserve"> </w:t>
      </w:r>
      <w:r>
        <w:rPr>
          <w:bCs/>
          <w:b/>
        </w:rPr>
        <w:t xml:space="preserve">Peer Review Report</w:t>
      </w:r>
      <w:r>
        <w:t xml:space="preserve"> </w:t>
      </w:r>
      <w:r>
        <w:t xml:space="preserve">finds that the</w:t>
      </w:r>
      <w:r>
        <w:t xml:space="preserve"> </w:t>
      </w:r>
      <w:r>
        <w:rPr>
          <w:bCs/>
          <w:b/>
        </w:rPr>
        <w:t xml:space="preserve">Auditor</w:t>
      </w:r>
      <w:r>
        <w:t xml:space="preserve">'s working papers are well-organized, clear, and sufficient to support the audit opinion. The documentation clearly outlines the audit procedures performed, the evidence obtained, and the conclusions reached.</w:t>
      </w:r>
    </w:p>
    <w:p>
      <w:pPr>
        <w:pStyle w:val="BodyText"/>
      </w:pPr>
      <w:r>
        <w:t xml:space="preserve">Furthermore, the audit reports issued by the</w:t>
      </w:r>
      <w:r>
        <w:t xml:space="preserve"> </w:t>
      </w:r>
      <w:r>
        <w:rPr>
          <w:bCs/>
          <w:b/>
        </w:rPr>
        <w:t xml:space="preserve">Auditor</w:t>
      </w:r>
      <w:r>
        <w:t xml:space="preserve"> </w:t>
      </w:r>
      <w:r>
        <w:t xml:space="preserve">were compliant with the formatting and content requirements of Turkish law. The language used was precise, avoiding ambiguity, which is crucial for legal and regulatory compliance in</w:t>
      </w:r>
      <w:r>
        <w:t xml:space="preserve"> </w:t>
      </w:r>
      <w:r>
        <w:rPr>
          <w:bCs/>
          <w:b/>
        </w:rPr>
        <w:t xml:space="preserve">Turkey Istanbul</w:t>
      </w:r>
      <w:r>
        <w:t xml:space="preserve">. The</w:t>
      </w:r>
      <w:r>
        <w:t xml:space="preserve"> </w:t>
      </w:r>
      <w:r>
        <w:rPr>
          <w:bCs/>
          <w:b/>
        </w:rPr>
        <w:t xml:space="preserve">Auditor</w:t>
      </w:r>
      <w:r>
        <w:t xml:space="preserve"> </w:t>
      </w:r>
      <w:r>
        <w:t xml:space="preserve">also provided clear management letters, offering constructive recommendations for improving internal controls and financial reporting processes.</w:t>
      </w:r>
    </w:p>
    <w:bookmarkEnd w:id="26"/>
    <w:bookmarkStart w:id="27" w:name="areas-for-improvement"/>
    <w:p>
      <w:pPr>
        <w:pStyle w:val="Heading2"/>
      </w:pPr>
      <w:r>
        <w:t xml:space="preserve">7. Areas for Improvement</w:t>
      </w:r>
    </w:p>
    <w:p>
      <w:pPr>
        <w:pStyle w:val="FirstParagraph"/>
      </w:pPr>
      <w:r>
        <w:t xml:space="preserve">While the overall performance of the</w:t>
      </w:r>
      <w:r>
        <w:t xml:space="preserve"> </w:t>
      </w:r>
      <w:r>
        <w:rPr>
          <w:bCs/>
          <w:b/>
        </w:rPr>
        <w:t xml:space="preserve">Auditor</w:t>
      </w:r>
      <w:r>
        <w:t xml:space="preserve"> </w:t>
      </w:r>
      <w:r>
        <w:t xml:space="preserve">is commendable, this</w:t>
      </w:r>
      <w:r>
        <w:t xml:space="preserve"> </w:t>
      </w:r>
      <w:r>
        <w:rPr>
          <w:bCs/>
          <w:b/>
        </w:rPr>
        <w:t xml:space="preserve">Peer Review Report</w:t>
      </w:r>
      <w:r>
        <w:t xml:space="preserve"> </w:t>
      </w:r>
      <w:r>
        <w:t xml:space="preserve">identifies a few areas for enhancement. The</w:t>
      </w:r>
      <w:r>
        <w:t xml:space="preserve"> </w:t>
      </w:r>
      <w:r>
        <w:rPr>
          <w:bCs/>
          <w:b/>
        </w:rPr>
        <w:t xml:space="preserve">Auditor</w:t>
      </w:r>
      <w:r>
        <w:t xml:space="preserve"> </w:t>
      </w:r>
      <w:r>
        <w:t xml:space="preserve">could benefit from further training on the latest developments in digital auditing tools and data analytics. As businesses in</w:t>
      </w:r>
      <w:r>
        <w:t xml:space="preserve"> </w:t>
      </w:r>
      <w:r>
        <w:rPr>
          <w:bCs/>
          <w:b/>
        </w:rPr>
        <w:t xml:space="preserve">Turkey Istanbul</w:t>
      </w:r>
      <w:r>
        <w:t xml:space="preserve"> </w:t>
      </w:r>
      <w:r>
        <w:t xml:space="preserve">increasingly adopt digital transformation, leveraging advanced analytics can improve the efficiency and effectiveness of audit procedures.</w:t>
      </w:r>
    </w:p>
    <w:p>
      <w:pPr>
        <w:pStyle w:val="BodyText"/>
      </w:pPr>
      <w:r>
        <w:t xml:space="preserve">Additionally, while the</w:t>
      </w:r>
      <w:r>
        <w:t xml:space="preserve"> </w:t>
      </w:r>
      <w:r>
        <w:rPr>
          <w:bCs/>
          <w:b/>
        </w:rPr>
        <w:t xml:space="preserve">Auditor</w:t>
      </w:r>
      <w:r>
        <w:t xml:space="preserve">'s knowledge of local regulations is strong, there is room for deeper engagement with international best practices in sustainability reporting (ESG), which is becoming increasingly relevant for Istanbul-based companies seeking global investment.</w:t>
      </w:r>
    </w:p>
    <w:bookmarkEnd w:id="27"/>
    <w:bookmarkStart w:id="28" w:name="conclusion-and-recommendation"/>
    <w:p>
      <w:pPr>
        <w:pStyle w:val="Heading2"/>
      </w:pPr>
      <w:r>
        <w:t xml:space="preserve">8.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Auditor</w:t>
      </w:r>
      <w:r>
        <w:t xml:space="preserve"> </w:t>
      </w:r>
      <w:r>
        <w:t xml:space="preserve">meets the high standards required for practice in</w:t>
      </w:r>
      <w:r>
        <w:t xml:space="preserve"> </w:t>
      </w:r>
      <w:r>
        <w:rPr>
          <w:bCs/>
          <w:b/>
        </w:rPr>
        <w:t xml:space="preserve">Turkey Istanbul</w:t>
      </w:r>
      <w:r>
        <w:t xml:space="preserve">. The</w:t>
      </w:r>
      <w:r>
        <w:t xml:space="preserve"> </w:t>
      </w:r>
      <w:r>
        <w:rPr>
          <w:bCs/>
          <w:b/>
        </w:rPr>
        <w:t xml:space="preserve">Auditor</w:t>
      </w:r>
      <w:r>
        <w:t xml:space="preserve"> </w:t>
      </w:r>
      <w:r>
        <w:t xml:space="preserve">has demonstrated technical competence, ethical integrity, and a thorough understanding of the local regulatory landscape. The audit work performed is reliable, and the audit opinions issued are well-supported by evidence.</w:t>
      </w:r>
    </w:p>
    <w:p>
      <w:pPr>
        <w:pStyle w:val="BodyText"/>
      </w:pPr>
      <w:r>
        <w:t xml:space="preserve">It is recommended that the</w:t>
      </w:r>
      <w:r>
        <w:t xml:space="preserve"> </w:t>
      </w:r>
      <w:r>
        <w:rPr>
          <w:bCs/>
          <w:b/>
        </w:rPr>
        <w:t xml:space="preserve">Auditor</w:t>
      </w:r>
      <w:r>
        <w:t xml:space="preserve"> </w:t>
      </w:r>
      <w:r>
        <w:t xml:space="preserve">continues to engage in professional development, particularly in the areas of digital auditing and ESG reporting, to further enhance their service quality. Based on the findings of this review, the</w:t>
      </w:r>
      <w:r>
        <w:t xml:space="preserve"> </w:t>
      </w:r>
      <w:r>
        <w:rPr>
          <w:bCs/>
          <w:b/>
        </w:rPr>
        <w:t xml:space="preserve">Auditor</w:t>
      </w:r>
      <w:r>
        <w:t xml:space="preserve"> </w:t>
      </w:r>
      <w:r>
        <w:t xml:space="preserve">is deemed fit to continue providing audit services in the jurisdiction of</w:t>
      </w:r>
      <w:r>
        <w:t xml:space="preserve"> </w:t>
      </w:r>
      <w:r>
        <w:rPr>
          <w:bCs/>
          <w:b/>
        </w:rPr>
        <w:t xml:space="preserve">Turkey Istanbul</w:t>
      </w:r>
      <w:r>
        <w:t xml:space="preserve"> </w:t>
      </w:r>
      <w:r>
        <w:t xml:space="preserve">without restriction.</w:t>
      </w:r>
    </w:p>
    <w:p>
      <w:pPr>
        <w:pStyle w:val="BodyText"/>
      </w:pPr>
      <w:r>
        <w:rPr>
          <w:bCs/>
          <w:b/>
        </w:rPr>
        <w:t xml:space="preserve">Reviewed By:</w:t>
      </w:r>
      <w:r>
        <w:br/>
      </w:r>
      <w:r>
        <w:t xml:space="preserve">Senior Peer Reviewer</w:t>
      </w:r>
      <w:r>
        <w:br/>
      </w:r>
      <w:r>
        <w:t xml:space="preserve">TÜRMOB Accredited</w:t>
      </w:r>
    </w:p>
    <w:p>
      <w:pPr>
        <w:pStyle w:val="BodyText"/>
      </w:pPr>
      <w:r>
        <w:rPr>
          <w:bCs/>
          <w:b/>
        </w:rPr>
        <w:t xml:space="preserve">Acknowledged By:</w:t>
      </w:r>
      <w:r>
        <w:br/>
      </w:r>
      <w:r>
        <w:t xml:space="preserve">The Auditor</w:t>
      </w:r>
      <w:r>
        <w:br/>
      </w:r>
      <w:r>
        <w:t xml:space="preserve">Istanbul Office</w:t>
      </w:r>
    </w:p>
    <w:p>
      <w:pPr>
        <w:pStyle w:val="BodyText"/>
      </w:pPr>
      <w:r>
        <w:t xml:space="preserve">© 2023 Peer Review Committee. This document is confidential and intended solely for the use of the addressee. Prepared in accordance with the regulations of the Public Oversight, Accounting and Auditing Standards Authority (POAAS) of Turkey.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Evaluation - Turkey Istanbul</dc:title>
  <dc:creator/>
  <dc:language>en</dc:language>
  <cp:keywords/>
  <dcterms:created xsi:type="dcterms:W3CDTF">2026-10-10T08:39:48Z</dcterms:created>
  <dcterms:modified xsi:type="dcterms:W3CDTF">2026-10-10T08:39:48Z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