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 Firm and Lead Auditor Assessment</w:t>
      </w:r>
    </w:p>
    <w:p>
      <w:pPr>
        <w:pStyle w:val="BodyText"/>
      </w:pPr>
      <w:r>
        <w:rPr>
          <w:bCs/>
          <w:b/>
        </w:rPr>
        <w:t xml:space="preserve">Jurisdiction: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PR-AD-2023-089</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requirements established by the Abu Dhabi Department of Economic Development (DED) and the International Standard on Quality Control (ISQC) 1. The primary objective of this review is to evaluate the quality control system and the professional competence of the Auditor and the associated audit firm operating within the emirate of Abu Dhabi, United Arab Emirates.</w:t>
      </w:r>
    </w:p>
    <w:p>
      <w:pPr>
        <w:pStyle w:val="BodyText"/>
      </w:pPr>
      <w:r>
        <w:t xml:space="preserve">The scope of this Peer Review encompasses a comprehensive examination of the firm’s adherence to International Standards on Auditing (ISAs), local statutory requirements, and ethical guidelines mandated by the UAE Ministry of Economy. The review focuses specifically on the Auditor’s ability to maintain independence, exercise professional skepticism, and deliver audit opinions that are free from material misstatement.</w:t>
      </w:r>
    </w:p>
    <w:bookmarkEnd w:id="21"/>
    <w:bookmarkStart w:id="22" w:name="regulatory-framework-and-compliance"/>
    <w:p>
      <w:pPr>
        <w:pStyle w:val="Heading2"/>
      </w:pPr>
      <w:r>
        <w:t xml:space="preserve">2. Regulatory Framework and Compliance</w:t>
      </w:r>
    </w:p>
    <w:p>
      <w:pPr>
        <w:pStyle w:val="FirstParagraph"/>
      </w:pPr>
      <w:r>
        <w:t xml:space="preserve">In the United Arab Emirates, specifically within Abu Dhabi, the auditing profession is subject to rigorous oversight to ensure the integrity of financial markets. This Peer Review Report assesses the Auditor’s compliance with the UAE Commercial Companies Law and the specific regulations governing public accountancy firms in Abu Dhabi.</w:t>
      </w:r>
    </w:p>
    <w:p>
      <w:pPr>
        <w:pStyle w:val="BodyText"/>
      </w:pPr>
      <w:r>
        <w:t xml:space="preserve">The review confirms that the Auditor has maintained the necessary licensing and registration with the Abu Dhabi DED. Furthermore, the firm has demonstrated alignment with the Code of Ethics for Professional Accountants issued by the International Ethics Standards Board for Accountants (IESBA), which is adopted as the standard for ethical conduct in the UAE. The Auditor’s policies regarding conflict of interest, confidentiality, and professional behavior were scrutinized and found to be robust and effectively implemented.</w:t>
      </w:r>
    </w:p>
    <w:bookmarkEnd w:id="22"/>
    <w:bookmarkStart w:id="23" w:name="evaluation-of-quality-control-systems"/>
    <w:p>
      <w:pPr>
        <w:pStyle w:val="Heading2"/>
      </w:pPr>
      <w:r>
        <w:t xml:space="preserve">3. Evaluation of Quality Control Systems</w:t>
      </w:r>
    </w:p>
    <w:p>
      <w:pPr>
        <w:pStyle w:val="FirstParagraph"/>
      </w:pPr>
      <w:r>
        <w:t xml:space="preserve">A critical component of this Peer Review Report is the assessment of the Auditor’s internal quality control framework. The review team examined the firm’s documentation regarding leadership responsibilities for quality within the firm, relevant ethical requirements, and acceptance and continuance of client relationships.</w:t>
      </w:r>
    </w:p>
    <w:p>
      <w:pPr>
        <w:pStyle w:val="BodyText"/>
      </w:pPr>
      <w:r>
        <w:t xml:space="preserve">The Auditor has established a clear hierarchy of responsibility for quality control, with the Engagement Partner bearing ultimate responsibility for the quality of each audit engagement. The review found that the firm in Abu Dhabi employs a rigorous engagement quality review (EQR) process for high-risk clients, ensuring that a second level of scrutiny is applied before the issuance of any audit report. This is particularly vital in the UAE context, where complex corporate structures and cross-border transactions are common.</w:t>
      </w:r>
    </w:p>
    <w:bookmarkEnd w:id="23"/>
    <w:bookmarkStart w:id="24" w:name="X4d9db1fc865b10c93fec9cab121e37c55f379ae"/>
    <w:p>
      <w:pPr>
        <w:pStyle w:val="Heading2"/>
      </w:pPr>
      <w:r>
        <w:t xml:space="preserve">4. Assessment of Audit Methodology and Execution</w:t>
      </w:r>
    </w:p>
    <w:p>
      <w:pPr>
        <w:pStyle w:val="FirstParagraph"/>
      </w:pPr>
      <w:r>
        <w:t xml:space="preserve">The Peer Review Report includes a detailed analysis of selected audit files to evaluate the Auditor’s practical application of auditing standards. The review focused on the planning phase, risk assessment procedures, and the nature, timing, and extent of audit evidence obtained.</w:t>
      </w:r>
    </w:p>
    <w:p>
      <w:pPr>
        <w:pStyle w:val="BodyText"/>
      </w:pPr>
      <w:r>
        <w:t xml:space="preserve">It was observed that the Auditor effectively identifies and assesses the risks of material misstatement at both the financial statement and assertion levels. In the context of Abu Dhabi’s diverse economy, ranging from oil and gas to tourism and real estate, the Auditor demonstrated a strong understanding of industry-specific risks. The documentation reviewed showed that the Auditor appropriately tailored audit procedures to address these risks, ensuring compliance with ISAs.</w:t>
      </w:r>
    </w:p>
    <w:p>
      <w:pPr>
        <w:pStyle w:val="BodyText"/>
      </w:pPr>
      <w:r>
        <w:t xml:space="preserve">Furthermore, the review assessed the Auditor’s use of technology and data analytics in the audit process. The firm has integrated modern audit tools to enhance the efficiency and effectiveness of substantive testing, which aligns with the digital transformation initiatives promoted by the Abu Dhabi government.</w:t>
      </w:r>
    </w:p>
    <w:bookmarkEnd w:id="24"/>
    <w:bookmarkStart w:id="25" w:name="X79bdb801a6105f222ab696b9bcce4e599b1e393"/>
    <w:p>
      <w:pPr>
        <w:pStyle w:val="Heading2"/>
      </w:pPr>
      <w:r>
        <w:t xml:space="preserve">5. Professional Competence and Continuing Education</w:t>
      </w:r>
    </w:p>
    <w:p>
      <w:pPr>
        <w:pStyle w:val="FirstParagraph"/>
      </w:pPr>
      <w:r>
        <w:t xml:space="preserve">Maintaining professional competence is a fundamental requirement for any Auditor practicing in the United Arab Emirates. This Peer Review Report verifies that the Auditor and the audit team members have completed the required Continuing Professional Development (CPD) hours as mandated by the UAE regulatory bodies.</w:t>
      </w:r>
    </w:p>
    <w:p>
      <w:pPr>
        <w:pStyle w:val="BodyText"/>
      </w:pPr>
      <w:r>
        <w:t xml:space="preserve">The review confirmed that the firm provides regular training sessions on updates to ISAs, changes in UAE tax laws (including the recent implementation of Corporate Tax), and developments in anti-money laundering (AML) regulations. This commitment to ongoing education ensures that the Auditor remains current with the evolving regulatory landscape in Abu Dhabi.</w:t>
      </w:r>
    </w:p>
    <w:bookmarkEnd w:id="25"/>
    <w:bookmarkStart w:id="26" w:name="findings-and-recommendations"/>
    <w:p>
      <w:pPr>
        <w:pStyle w:val="Heading2"/>
      </w:pPr>
      <w:r>
        <w:t xml:space="preserve">6. Findings and Recommendations</w:t>
      </w:r>
    </w:p>
    <w:p>
      <w:pPr>
        <w:pStyle w:val="FirstParagraph"/>
      </w:pPr>
      <w:r>
        <w:t xml:space="preserve">Based on the evidence gathered during this Peer Review, the overall quality of the Auditor’s work is deemed satisfactory. However, the report identifies a few areas for improvement to further enhance the quality control system:</w:t>
      </w:r>
    </w:p>
    <w:p>
      <w:pPr>
        <w:numPr>
          <w:ilvl w:val="0"/>
          <w:numId w:val="1001"/>
        </w:numPr>
        <w:pStyle w:val="Compact"/>
      </w:pPr>
      <w:r>
        <w:rPr>
          <w:bCs/>
          <w:b/>
        </w:rPr>
        <w:t xml:space="preserve">Documentation Enhancement:</w:t>
      </w:r>
      <w:r>
        <w:t xml:space="preserve"> </w:t>
      </w:r>
      <w:r>
        <w:t xml:space="preserve">While generally adequate, some audit files lacked detailed documentation regarding the rationale for specific judgments made during the risk assessment phase. The Auditor is recommended to strengthen this aspect to ensure clarity and defensibility.</w:t>
      </w:r>
    </w:p>
    <w:p>
      <w:pPr>
        <w:numPr>
          <w:ilvl w:val="0"/>
          <w:numId w:val="1001"/>
        </w:numPr>
        <w:pStyle w:val="Compact"/>
      </w:pPr>
      <w:r>
        <w:rPr>
          <w:bCs/>
          <w:b/>
        </w:rPr>
        <w:t xml:space="preserve">Local Regulatory Updates:</w:t>
      </w:r>
      <w:r>
        <w:t xml:space="preserve"> </w:t>
      </w:r>
      <w:r>
        <w:t xml:space="preserve">The firm should ensure that all engagement teams are promptly updated on any new circulars issued by the Abu Dhabi DED or the Securities and Commodities Authority (SCA) to maintain full compliance.</w:t>
      </w:r>
    </w:p>
    <w:bookmarkEnd w:id="26"/>
    <w:bookmarkStart w:id="27" w:name="conclusion"/>
    <w:p>
      <w:pPr>
        <w:pStyle w:val="Heading2"/>
      </w:pPr>
      <w:r>
        <w:t xml:space="preserve">7. Conclusion</w:t>
      </w:r>
    </w:p>
    <w:p>
      <w:pPr>
        <w:pStyle w:val="FirstParagraph"/>
      </w:pPr>
      <w:r>
        <w:t xml:space="preserve">In conclusion, this Peer Review Report affirms that the Auditor operates in accordance with the high standards expected in the United Arab Emirates, Abu Dhabi. The firm’s quality control system is effective, and the Auditor demonstrates the necessary professional competence and ethical integrity to perform audit engagements reliably. The recommendations provided are intended to support continuous improvement and ensure sustained compliance with both international and local regulatory requirements.</w:t>
      </w:r>
    </w:p>
    <w:bookmarkEnd w:id="27"/>
    <w:p>
      <w:pPr>
        <w:pStyle w:val="BodyText"/>
      </w:pPr>
      <w:r>
        <w:rPr>
          <w:bCs/>
          <w:b/>
        </w:rPr>
        <w:t xml:space="preserve">Prepared by:</w:t>
      </w:r>
    </w:p>
    <w:p>
      <w:pPr>
        <w:pStyle w:val="BodyText"/>
      </w:pPr>
      <w:r>
        <w:t xml:space="preserve">__________________________</w:t>
      </w:r>
    </w:p>
    <w:p>
      <w:pPr>
        <w:pStyle w:val="BodyText"/>
      </w:pPr>
      <w:r>
        <w:t xml:space="preserve">Lead Peer Reviewer</w:t>
      </w:r>
    </w:p>
    <w:p>
      <w:pPr>
        <w:pStyle w:val="BodyText"/>
      </w:pPr>
      <w:r>
        <w:t xml:space="preserve">Accredited Review Body</w:t>
      </w:r>
    </w:p>
    <w:p>
      <w:pPr>
        <w:pStyle w:val="BodyText"/>
      </w:pPr>
      <w:r>
        <w:t xml:space="preserve">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in United Arab Emirates Abu Dhabi</dc:title>
  <dc:creator/>
  <dc:language>en</dc:language>
  <cp:keywords/>
  <dcterms:created xsi:type="dcterms:W3CDTF">2026-10-10T09:50:27Z</dcterms:created>
  <dcterms:modified xsi:type="dcterms:W3CDTF">2026-10-10T09:50:27Z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