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eer-review-report"/>
    <w:p>
      <w:pPr>
        <w:pStyle w:val="Heading1"/>
      </w:pPr>
      <w:r>
        <w:t xml:space="preserve">Peer Review Report</w:t>
      </w:r>
    </w:p>
    <w:bookmarkStart w:id="20" w:name="X54ccf207726bbabc78e9807b8bce0a0e9311d26"/>
    <w:p>
      <w:pPr>
        <w:pStyle w:val="Heading2"/>
      </w:pPr>
      <w:r>
        <w:t xml:space="preserve">Auditor Assessment in United Arab Emirates Dubai</w:t>
      </w:r>
    </w:p>
    <w:p>
      <w:pPr>
        <w:pStyle w:val="FirstParagraph"/>
      </w:pPr>
      <w:r>
        <w:rPr>
          <w:bCs/>
          <w:b/>
        </w:rPr>
        <w:t xml:space="preserve">Date of Report:</w:t>
      </w:r>
      <w:r>
        <w:t xml:space="preserve"> </w:t>
      </w:r>
      <w:r>
        <w:t xml:space="preserve">October 26, 2023</w:t>
      </w:r>
    </w:p>
    <w:p>
      <w:pPr>
        <w:pStyle w:val="BodyText"/>
      </w:pPr>
      <w:r>
        <w:rPr>
          <w:bCs/>
          <w:b/>
        </w:rPr>
        <w:t xml:space="preserve">Reference Number:</w:t>
      </w:r>
      <w:r>
        <w:t xml:space="preserve"> </w:t>
      </w:r>
      <w:r>
        <w:t xml:space="preserve">PR-DXB-2023-001</w:t>
      </w:r>
    </w:p>
    <w:bookmarkEnd w:id="20"/>
    <w:bookmarkEnd w:id="21"/>
    <w:bookmarkStart w:id="22" w:name="introduction-and-scope"/>
    <w:p>
      <w:pPr>
        <w:pStyle w:val="Heading2"/>
      </w:pPr>
      <w:r>
        <w:t xml:space="preserve">1. Introduction and Scope</w:t>
      </w:r>
    </w:p>
    <w:p>
      <w:pPr>
        <w:pStyle w:val="FirstParagraph"/>
      </w:pPr>
      <w:r>
        <w:t xml:space="preserve">This Peer Review Report has been prepared to evaluate the professional competence, ethical adherence, and operational efficiency of the Auditor under review. The assessment is conducted in strict accordance with the regulatory frameworks established by the Dubai Financial Services Authority (DFSA) and the International Federation of Accountants (IFAC) standards, which are pivotal for maintaining the integrity of financial reporting in the United Arab Emirates Dubai.</w:t>
      </w:r>
    </w:p>
    <w:p>
      <w:pPr>
        <w:pStyle w:val="BodyText"/>
      </w:pPr>
      <w:r>
        <w:t xml:space="preserve">The primary objective of this review is to ensure that the Auditor’s practices align with the rigorous expectations set forth by the local regulatory bodies in Dubai. As a global financial hub, the United Arab Emirates Dubai demands a high standard of audit quality to foster investor confidence and economic stability. This report examines the Auditor’s methodology, compliance with International Standards on Auditing (ISAs), and adherence to the Code of Ethics for Professional Accountants.</w:t>
      </w:r>
    </w:p>
    <w:bookmarkEnd w:id="22"/>
    <w:bookmarkStart w:id="23" w:name="Xe5f981900fc2fbdccae856f6b0ac8d55b63177e"/>
    <w:p>
      <w:pPr>
        <w:pStyle w:val="Heading2"/>
      </w:pPr>
      <w:r>
        <w:t xml:space="preserve">2. Regulatory Context in United Arab Emirates Dubai</w:t>
      </w:r>
    </w:p>
    <w:p>
      <w:pPr>
        <w:pStyle w:val="FirstParagraph"/>
      </w:pPr>
      <w:r>
        <w:t xml:space="preserve">The auditing landscape in the United Arab Emirates Dubai is characterized by a robust regulatory environment designed to combat financial irregularities and promote transparency. The Auditor under review operates within a jurisdiction where compliance is not merely a formality but a critical component of business continuity. The review considers the specific requirements imposed by the Dubai International Financial Centre (DIFC) and the Abu Dhabi Global Market (ADGM), which often influence practices across the emirate.</w:t>
      </w:r>
    </w:p>
    <w:p>
      <w:pPr>
        <w:pStyle w:val="BodyText"/>
      </w:pPr>
      <w:r>
        <w:t xml:space="preserve">Furthermore, the report assesses the Auditor’s understanding of the UAE Federal Decree-Law No. 32 of 2021 on Commercial Companies and the associated anti-money laundering (AML) regulations. In the dynamic economic climate of Dubai, an Auditor must demonstrate not only technical proficiency but also a keen awareness of the legal obligations that govern corporate entities in the region.</w:t>
      </w:r>
    </w:p>
    <w:bookmarkEnd w:id="23"/>
    <w:bookmarkStart w:id="24" w:name="evaluation-of-audit-methodology"/>
    <w:p>
      <w:pPr>
        <w:pStyle w:val="Heading2"/>
      </w:pPr>
      <w:r>
        <w:t xml:space="preserve">3. Evaluation of Audit Methodology</w:t>
      </w:r>
    </w:p>
    <w:p>
      <w:pPr>
        <w:pStyle w:val="FirstParagraph"/>
      </w:pPr>
      <w:r>
        <w:t xml:space="preserve">The core of this Peer Review Report focuses on the Auditor’s approach to risk assessment and evidence gathering. The review team analyzed a sample of audit files to determine if the Auditor adequately identified and responded to risks of material misstatement. It was observed that the Auditor generally employs a risk-based approach, which is consistent with ISA 315. However, the depth of risk assessment in complex financial instruments, common in Dubai’s real estate and banking sectors, requires further enhancement.</w:t>
      </w:r>
    </w:p>
    <w:p>
      <w:pPr>
        <w:pStyle w:val="BodyText"/>
      </w:pPr>
      <w:r>
        <w:t xml:space="preserve">The evaluation also scrutinized the Auditor’s use of professional skepticism. In the context of the United Arab Emirates Dubai, where business structures can be intricate, maintaining an attitude of professional skepticism is paramount. The report notes that while the Auditor demonstrates competence in routine procedures, there is a need for more rigorous challenge of management assertions in areas involving significant judgment, such as revenue recognition and asset valuation.</w:t>
      </w:r>
    </w:p>
    <w:bookmarkEnd w:id="24"/>
    <w:bookmarkStart w:id="25" w:name="ethical-compliance-and-independence"/>
    <w:p>
      <w:pPr>
        <w:pStyle w:val="Heading2"/>
      </w:pPr>
      <w:r>
        <w:t xml:space="preserve">4. Ethical Compliance and Independence</w:t>
      </w:r>
    </w:p>
    <w:p>
      <w:pPr>
        <w:pStyle w:val="FirstParagraph"/>
      </w:pPr>
      <w:r>
        <w:t xml:space="preserve">Ethical integrity is the cornerstone of the auditing profession. This Peer Review Report assesses the Auditor’s compliance with the fundamental principles of integrity, objectivity, professional competence, confidentiality, and professional behavior. The review confirms that the Auditor has established policies to safeguard independence, which is crucial for maintaining public trust in the financial markets of the United Arab Emirates Dubai.</w:t>
      </w:r>
    </w:p>
    <w:p>
      <w:pPr>
        <w:pStyle w:val="BodyText"/>
      </w:pPr>
      <w:r>
        <w:t xml:space="preserve">The report highlights the importance of continuous monitoring of threats to independence, particularly in a close-knit business environment like Dubai. The Auditor is advised to strengthen documentation regarding the evaluation of non-audit services provided to audit clients to ensure that no self-interest or familiarity threats compromise the audit opinion.</w:t>
      </w:r>
    </w:p>
    <w:bookmarkEnd w:id="25"/>
    <w:bookmarkStart w:id="26" w:name="quality-control-and-documentation"/>
    <w:p>
      <w:pPr>
        <w:pStyle w:val="Heading2"/>
      </w:pPr>
      <w:r>
        <w:t xml:space="preserve">5. Quality Control and Documentation</w:t>
      </w:r>
    </w:p>
    <w:p>
      <w:pPr>
        <w:pStyle w:val="FirstParagraph"/>
      </w:pPr>
      <w:r>
        <w:t xml:space="preserve">Effective quality control systems are essential for an Auditor to deliver consistent and reliable audit services. This section of the Peer Review Report examines the Auditor’s adherence to ISA 220 on Quality Control for an Audit of Financial Statements. The review found that the Auditor maintains a structured quality control framework, including engagement acceptance procedures and monitoring mechanisms.</w:t>
      </w:r>
    </w:p>
    <w:p>
      <w:pPr>
        <w:pStyle w:val="BodyText"/>
      </w:pPr>
      <w:r>
        <w:t xml:space="preserve">However, the report identifies areas for improvement in audit documentation. In the United Arab Emirates Dubai, where regulatory scrutiny is high, audit files must provide a clear and comprehensive record of the work performed. The Auditor is encouraged to enhance the clarity and completeness of working papers to ensure they sufficiently support the audit conclusions and facilitate effective peer reviews in the future.</w:t>
      </w:r>
    </w:p>
    <w:bookmarkEnd w:id="26"/>
    <w:bookmarkStart w:id="27"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 to the Auditor to enhance their practice in the United Arab Emirates Dubai:</w:t>
      </w:r>
    </w:p>
    <w:p>
      <w:pPr>
        <w:numPr>
          <w:ilvl w:val="0"/>
          <w:numId w:val="1001"/>
        </w:numPr>
        <w:pStyle w:val="Compact"/>
      </w:pPr>
      <w:r>
        <w:t xml:space="preserve">Strengthen risk assessment procedures for complex transactions prevalent in the Dubai market.</w:t>
      </w:r>
    </w:p>
    <w:p>
      <w:pPr>
        <w:numPr>
          <w:ilvl w:val="0"/>
          <w:numId w:val="1001"/>
        </w:numPr>
        <w:pStyle w:val="Compact"/>
      </w:pPr>
      <w:r>
        <w:t xml:space="preserve">Enhance documentation practices to meet the stringent requirements of local regulators.</w:t>
      </w:r>
    </w:p>
    <w:p>
      <w:pPr>
        <w:numPr>
          <w:ilvl w:val="0"/>
          <w:numId w:val="1001"/>
        </w:numPr>
        <w:pStyle w:val="Compact"/>
      </w:pPr>
      <w:r>
        <w:t xml:space="preserve">Implement more robust training programs on emerging regulatory changes in the UAE.</w:t>
      </w:r>
    </w:p>
    <w:p>
      <w:pPr>
        <w:numPr>
          <w:ilvl w:val="0"/>
          <w:numId w:val="1001"/>
        </w:numPr>
        <w:pStyle w:val="Compact"/>
      </w:pPr>
      <w:r>
        <w:t xml:space="preserve">Reinforce the culture of professional skepticism within the audit team.</w:t>
      </w:r>
    </w:p>
    <w:p>
      <w:pPr>
        <w:pStyle w:val="FirstParagraph"/>
      </w:pPr>
      <w:r>
        <w:t xml:space="preserve">In conclusion, this Peer Review Report affirms that the Auditor possesses the necessary qualifications and systems to perform audit engagements in the United Arab Emirates Dubai. However, continuous improvement is essential to maintain the high standards expected in this prestigious financial jurisdiction. By addressing the recommendations outlined in this report, the Auditor will further solidify their reputation for excellence and reliability.</w:t>
      </w:r>
    </w:p>
    <w:bookmarkEnd w:id="27"/>
    <w:p>
      <w:pPr>
        <w:pStyle w:val="BodyText"/>
      </w:pPr>
      <w:r>
        <w:rPr>
          <w:bCs/>
          <w:b/>
        </w:rPr>
        <w:t xml:space="preserve">Prepared by:</w:t>
      </w:r>
    </w:p>
    <w:p>
      <w:pPr>
        <w:pStyle w:val="BodyText"/>
      </w:pPr>
      <w:r>
        <w:t xml:space="preserve">Senior Peer Reviewer</w:t>
      </w:r>
    </w:p>
    <w:p>
      <w:pPr>
        <w:pStyle w:val="BodyText"/>
      </w:pPr>
      <w:r>
        <w:t xml:space="preserve">Professional Accounting Body</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United Arab Emirates Dubai</dc:title>
  <dc:creator/>
  <dc:language>en</dc:language>
  <cp:keywords/>
  <dcterms:created xsi:type="dcterms:W3CDTF">2026-10-10T09:44:08Z</dcterms:created>
  <dcterms:modified xsi:type="dcterms:W3CDTF">2026-10-10T09:44:08Z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