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Independent Audit Practice</w:t>
      </w:r>
    </w:p>
    <w:p>
      <w:pPr>
        <w:pStyle w:val="BodyText"/>
      </w:pPr>
      <w:r>
        <w:rPr>
          <w:bCs/>
          <w:b/>
        </w:rPr>
        <w:t xml:space="preserve">Location:</w:t>
      </w:r>
      <w:r>
        <w:t xml:space="preserve"> </w:t>
      </w:r>
      <w:r>
        <w:t xml:space="preserve">United Kingdom London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requirements set forth by the Financial Reporting Council (FRC) and the relevant professional bodies operating within the United Kingdom. The primary objective of this review is to evaluate the quality of audit work performed by the Auditor under review, ensuring compliance with International Standards on Auditing (ISAs) as adopted for the United Kingdom and Ireland.</w:t>
      </w:r>
    </w:p>
    <w:p>
      <w:pPr>
        <w:pStyle w:val="BodyText"/>
      </w:pPr>
      <w:r>
        <w:t xml:space="preserve">The scope of this review encompasses a sample of audit engagements conducted by the Auditor during the specified review period. These engagements were selected to represent a cross-section of the Auditor's client base, including entities of varying sizes and complexities located primarily within the London financial district and surrounding areas. The review aims to provide assurance that the Auditor maintains high standards of professional scepticism, technical competence, and ethical conduct, which are paramount in the rigorous regulatory environment of United Kingdom London.</w:t>
      </w:r>
    </w:p>
    <w:bookmarkEnd w:id="21"/>
    <w:bookmarkStart w:id="22" w:name="regulatory-framework-and-standards"/>
    <w:p>
      <w:pPr>
        <w:pStyle w:val="Heading2"/>
      </w:pPr>
      <w:r>
        <w:t xml:space="preserve">2. Regulatory Framework and Standards</w:t>
      </w:r>
    </w:p>
    <w:p>
      <w:pPr>
        <w:pStyle w:val="FirstParagraph"/>
      </w:pPr>
      <w:r>
        <w:t xml:space="preserve">The audit practice is subject to the regulatory oversight of the FRC, which mandates regular peer reviews to ensure public interest protection. The Auditor is required to adhere to the Ethical Standard issued by the FRC, which addresses fundamental principles such as integrity, objectivity, professional competence, confidentiality, and professional behaviour. Furthermore, the review assesses compliance with ISAs (UK), which provide the framework for planning, executing, and reporting on audits.</w:t>
      </w:r>
    </w:p>
    <w:p>
      <w:pPr>
        <w:pStyle w:val="BodyText"/>
      </w:pPr>
      <w:r>
        <w:t xml:space="preserve">Given the location in United Kingdom London, the Auditor must also demonstrate awareness of local regulatory nuances, including Companies House filing requirements and specific sectoral regulations applicable to London-based entities. The review process scrutinizes whether the Auditor has implemented adequate quality control policies and procedures to ensure consistent application of these standards across all engagements.</w:t>
      </w:r>
    </w:p>
    <w:bookmarkEnd w:id="22"/>
    <w:bookmarkStart w:id="23" w:name="methodology-of-the-review"/>
    <w:p>
      <w:pPr>
        <w:pStyle w:val="Heading2"/>
      </w:pPr>
      <w:r>
        <w:t xml:space="preserve">3. Methodology of the Review</w:t>
      </w:r>
    </w:p>
    <w:p>
      <w:pPr>
        <w:pStyle w:val="FirstParagraph"/>
      </w:pPr>
      <w:r>
        <w:t xml:space="preserve">The Peer Review Report was compiled through a comprehensive examination of audit documentation, interviews with key personnel, and observation of audit procedures. The review team selected a representative sample of audit files, focusing on areas of high risk and significant judgment. This included assessments of materiality, risk assessment procedures, internal control evaluations, and substantive testing.</w:t>
      </w:r>
    </w:p>
    <w:p>
      <w:pPr>
        <w:pStyle w:val="BodyText"/>
      </w:pPr>
      <w:r>
        <w:t xml:space="preserve">The methodology also involved a review of the Auditor's quality management system, including training records, continuing professional development (CPD) activities, and internal review processes. The review team evaluated the effectiveness of the Auditor's risk management strategies and their ability to identify and address potential issues within the audit process.</w:t>
      </w:r>
    </w:p>
    <w:bookmarkEnd w:id="23"/>
    <w:bookmarkStart w:id="26" w:name="findings-and-observations"/>
    <w:p>
      <w:pPr>
        <w:pStyle w:val="Heading2"/>
      </w:pPr>
      <w:r>
        <w:t xml:space="preserve">4. Findings and Observations</w:t>
      </w:r>
    </w:p>
    <w:bookmarkStart w:id="24" w:name="strengths"/>
    <w:p>
      <w:pPr>
        <w:pStyle w:val="Heading3"/>
      </w:pPr>
      <w:r>
        <w:t xml:space="preserve">4.1 Strengths</w:t>
      </w:r>
    </w:p>
    <w:p>
      <w:pPr>
        <w:pStyle w:val="FirstParagraph"/>
      </w:pPr>
      <w:r>
        <w:t xml:space="preserve">The Auditor demonstrates a strong commitment to professional standards and ethical conduct. The audit documentation is generally well-organized and provides clear evidence of the work performed. The Auditor exhibits a high level of technical competence, particularly in areas such as revenue recognition, financial instruments, and lease accounting. The review team noted that the Auditor effectively applies professional scepticism and maintains a critical assessment of audit evidence.</w:t>
      </w:r>
    </w:p>
    <w:p>
      <w:pPr>
        <w:pStyle w:val="BodyText"/>
      </w:pPr>
      <w:r>
        <w:t xml:space="preserve">Furthermore, the Auditor's engagement with clients is professional and constructive, fostering a collaborative environment that enhances the quality of the audit process. The Auditor's use of technology and data analytics tools is commendable, reflecting a modern approach to auditing that aligns with best practices in United Kingdom London.</w:t>
      </w:r>
    </w:p>
    <w:bookmarkEnd w:id="24"/>
    <w:bookmarkStart w:id="25" w:name="areas-for-improvement"/>
    <w:p>
      <w:pPr>
        <w:pStyle w:val="Heading3"/>
      </w:pPr>
      <w:r>
        <w:t xml:space="preserve">4.2 Areas for Improvement</w:t>
      </w:r>
    </w:p>
    <w:p>
      <w:pPr>
        <w:pStyle w:val="FirstParagraph"/>
      </w:pPr>
      <w:r>
        <w:t xml:space="preserve">While the overall quality of the audit work is satisfactory, the review identified several areas for improvement. Firstly, there is a need for more detailed documentation of risk assessment procedures, particularly in relation to complex transactions and significant estimates. Secondly, the Auditor should enhance the clarity and completeness of audit working papers to ensure that they provide a clear audit trail and support the conclusions reached.</w:t>
      </w:r>
    </w:p>
    <w:p>
      <w:pPr>
        <w:pStyle w:val="BodyText"/>
      </w:pPr>
      <w:r>
        <w:t xml:space="preserve">Additionally, the review team observed inconsistencies in the application of certain audit procedures across different engagements. Standardizing these procedures and providing more comprehensive training to audit staff could help address this issue. The Auditor should also consider strengthening their quality control processes to ensure more consistent monitoring and review of audit work.</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the Auditor:</w:t>
      </w:r>
    </w:p>
    <w:p>
      <w:pPr>
        <w:numPr>
          <w:ilvl w:val="0"/>
          <w:numId w:val="1001"/>
        </w:numPr>
        <w:pStyle w:val="Compact"/>
      </w:pPr>
      <w:r>
        <w:t xml:space="preserve">Enhance the documentation of risk assessment procedures to provide a more robust basis for audit planning and execution.</w:t>
      </w:r>
    </w:p>
    <w:p>
      <w:pPr>
        <w:numPr>
          <w:ilvl w:val="0"/>
          <w:numId w:val="1001"/>
        </w:numPr>
        <w:pStyle w:val="Compact"/>
      </w:pPr>
      <w:r>
        <w:t xml:space="preserve">Improve the clarity and completeness of audit working papers to ensure they meet the requirements of ISAs (UK).</w:t>
      </w:r>
    </w:p>
    <w:p>
      <w:pPr>
        <w:numPr>
          <w:ilvl w:val="0"/>
          <w:numId w:val="1001"/>
        </w:numPr>
        <w:pStyle w:val="Compact"/>
      </w:pPr>
      <w:r>
        <w:t xml:space="preserve">Standardize audit procedures across all engagements to promote consistency and quality.</w:t>
      </w:r>
    </w:p>
    <w:p>
      <w:pPr>
        <w:numPr>
          <w:ilvl w:val="0"/>
          <w:numId w:val="1001"/>
        </w:numPr>
        <w:pStyle w:val="Compact"/>
      </w:pPr>
      <w:r>
        <w:t xml:space="preserve">Strengthen quality control processes, including more frequent internal reviews and monitoring of audit work.</w:t>
      </w:r>
    </w:p>
    <w:p>
      <w:pPr>
        <w:numPr>
          <w:ilvl w:val="0"/>
          <w:numId w:val="1001"/>
        </w:numPr>
        <w:pStyle w:val="Compact"/>
      </w:pPr>
      <w:r>
        <w:t xml:space="preserve">Provide additional training to audit staff on complex accounting standards and emerging regulatory requirements in United Kingdom London.</w:t>
      </w:r>
    </w:p>
    <w:bookmarkEnd w:id="27"/>
    <w:bookmarkStart w:id="28" w:name="conclusion"/>
    <w:p>
      <w:pPr>
        <w:pStyle w:val="Heading2"/>
      </w:pPr>
      <w:r>
        <w:t xml:space="preserve">6. Conclusion</w:t>
      </w:r>
    </w:p>
    <w:p>
      <w:pPr>
        <w:pStyle w:val="FirstParagraph"/>
      </w:pPr>
      <w:r>
        <w:t xml:space="preserve">In conclusion, this Peer Review Report provides a comprehensive assessment of the Auditor's compliance with professional standards and regulatory requirements. While the Auditor demonstrates a strong commitment to quality and ethical conduct, there are areas for improvement that should be addressed to further enhance the quality of audit work. By implementing the recommendations outlined in this report, the Auditor can continue to provide high-quality audit services that meet the expectations of clients, regulators, and the public in United Kingdom London.</w:t>
      </w:r>
    </w:p>
    <w:p>
      <w:pPr>
        <w:pStyle w:val="BodyText"/>
      </w:pPr>
      <w:r>
        <w:t xml:space="preserve">The review team acknowledges the Auditor's cooperation and professionalism throughout the review process and looks forward to seeing the implementation of the recommended improvements in future engagements.</w:t>
      </w:r>
    </w:p>
    <w:bookmarkEnd w:id="28"/>
    <w:p>
      <w:pPr>
        <w:pStyle w:val="BodyText"/>
      </w:pPr>
      <w:r>
        <w:rPr>
          <w:bCs/>
          <w:b/>
        </w:rPr>
        <w:t xml:space="preserve">Prepared by:</w:t>
      </w:r>
    </w:p>
    <w:p>
      <w:pPr>
        <w:pStyle w:val="BodyText"/>
      </w:pPr>
      <w:r>
        <w:t xml:space="preserve">John Doe, FCA</w:t>
      </w:r>
    </w:p>
    <w:p>
      <w:pPr>
        <w:pStyle w:val="BodyText"/>
      </w:pPr>
      <w:r>
        <w:t xml:space="preserve">Senior Peer Reviewer</w:t>
      </w:r>
    </w:p>
    <w:p>
      <w:pPr>
        <w:pStyle w:val="BodyText"/>
      </w:pPr>
      <w:r>
        <w:t xml:space="preserve">London Audit Review Group</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 United Kingdom London</dc:title>
  <dc:creator/>
  <dc:language>en</dc:language>
  <cp:keywords/>
  <dcterms:created xsi:type="dcterms:W3CDTF">2026-10-10T06:32:33Z</dcterms:created>
  <dcterms:modified xsi:type="dcterms:W3CDTF">2026-10-10T06:32:33Z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