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t xml:space="preserve">Independent Assessment of Audit Quality and Compliance</w:t>
      </w:r>
    </w:p>
    <w:bookmarkEnd w:id="20"/>
    <w:p>
      <w:pPr>
        <w:pStyle w:val="BodyText"/>
      </w:pPr>
      <w:r>
        <w:rPr>
          <w:bCs/>
          <w:b/>
        </w:rPr>
        <w:t xml:space="preserve">Review Reference Number:</w:t>
      </w:r>
      <w:r>
        <w:t xml:space="preserve"> </w:t>
      </w:r>
      <w:r>
        <w:t xml:space="preserve">PR-2023-MCR-0892</w:t>
      </w:r>
    </w:p>
    <w:p>
      <w:pPr>
        <w:pStyle w:val="BodyText"/>
      </w:pPr>
      <w:r>
        <w:rPr>
          <w:bCs/>
          <w:b/>
        </w:rPr>
        <w:t xml:space="preserve">Date of Report:</w:t>
      </w:r>
      <w:r>
        <w:t xml:space="preserve"> </w:t>
      </w:r>
      <w:r>
        <w:t xml:space="preserve">24 October 2023</w:t>
      </w:r>
    </w:p>
    <w:p>
      <w:pPr>
        <w:pStyle w:val="BodyText"/>
      </w:pPr>
      <w:r>
        <w:rPr>
          <w:bCs/>
          <w:b/>
        </w:rPr>
        <w:t xml:space="preserve">Subject Firm:</w:t>
      </w:r>
      <w:r>
        <w:t xml:space="preserve"> </w:t>
      </w:r>
      <w:r>
        <w:t xml:space="preserve">Manchester Assurance Partners LLP</w:t>
      </w:r>
    </w:p>
    <w:p>
      <w:pPr>
        <w:pStyle w:val="BodyText"/>
      </w:pPr>
      <w:r>
        <w:rPr>
          <w:bCs/>
          <w:b/>
        </w:rPr>
        <w:t xml:space="preserve">Location:</w:t>
      </w:r>
      <w:r>
        <w:t xml:space="preserve"> </w:t>
      </w:r>
      <w:r>
        <w:t xml:space="preserve">Spinningfields, Manchester, United Kingdom</w:t>
      </w:r>
    </w:p>
    <w:p>
      <w:pPr>
        <w:pStyle w:val="BodyText"/>
      </w:pPr>
      <w:r>
        <w:rPr>
          <w:bCs/>
          <w:b/>
        </w:rPr>
        <w:t xml:space="preserve">Review Period:</w:t>
      </w:r>
      <w:r>
        <w:t xml:space="preserve"> </w:t>
      </w:r>
      <w:r>
        <w:t xml:space="preserve">01 April 2022 – 31 March 2023</w:t>
      </w:r>
    </w:p>
    <w:p>
      <w:pPr>
        <w:pStyle w:val="BodyText"/>
      </w:pPr>
      <w:r>
        <w:rPr>
          <w:bCs/>
          <w:b/>
        </w:rPr>
        <w:t xml:space="preserve">Lead Reviewer:</w:t>
      </w:r>
      <w:r>
        <w:t xml:space="preserve"> </w:t>
      </w:r>
      <w:r>
        <w:t xml:space="preserve">J. A. Sterling, FCA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an independent quality assurance review conducted on the audit practices of Manchester Assurance Partners LLP. The review was commissioned in accordance with the requirements of the Financial Reporting Council (FRC) and the relevant professional bodies operating within the</w:t>
      </w:r>
      <w:r>
        <w:t xml:space="preserve"> </w:t>
      </w:r>
      <w:r>
        <w:rPr>
          <w:bCs/>
          <w:b/>
        </w:rPr>
        <w:t xml:space="preserve">United Kingdom</w:t>
      </w:r>
      <w:r>
        <w:t xml:space="preserve">. The primary objective was to evaluate the effectiveness of the firm's quality control systems and the quality of work performed by the</w:t>
      </w:r>
      <w:r>
        <w:t xml:space="preserve"> </w:t>
      </w:r>
      <w:r>
        <w:rPr>
          <w:bCs/>
          <w:b/>
        </w:rPr>
        <w:t xml:space="preserve">Auditor</w:t>
      </w:r>
      <w:r>
        <w:t xml:space="preserve"> </w:t>
      </w:r>
      <w:r>
        <w:t xml:space="preserve">team on selected engagements.</w:t>
      </w:r>
    </w:p>
    <w:p>
      <w:pPr>
        <w:pStyle w:val="BodyText"/>
      </w:pPr>
      <w:r>
        <w:t xml:space="preserve">The review focused specifically on the firm's operations in</w:t>
      </w:r>
      <w:r>
        <w:t xml:space="preserve"> </w:t>
      </w:r>
      <w:r>
        <w:rPr>
          <w:bCs/>
          <w:b/>
        </w:rPr>
        <w:t xml:space="preserve">Manchester</w:t>
      </w:r>
      <w:r>
        <w:t xml:space="preserve">, assessing their adherence to International Standards on Auditing (UK) (ISAs (UK)) and the Ethical Standard issued by the FRC. The overall conclusion is that the firm maintains a robust quality control framework, though specific areas regarding documentation and risk assessment require attention to ensure full compliance with the rigorous standards expected of an</w:t>
      </w:r>
      <w:r>
        <w:t xml:space="preserve"> </w:t>
      </w:r>
      <w:r>
        <w:rPr>
          <w:bCs/>
          <w:b/>
        </w:rPr>
        <w:t xml:space="preserve">Auditor</w:t>
      </w:r>
      <w:r>
        <w:t xml:space="preserve"> </w:t>
      </w:r>
      <w:r>
        <w:t xml:space="preserve">in the UK regulatory environment.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encompassed a comprehensive examination of the firm's quality control policies and procedures. The review team selected five audit files from the firm's</w:t>
      </w:r>
      <w:r>
        <w:t xml:space="preserve"> </w:t>
      </w:r>
      <w:r>
        <w:rPr>
          <w:bCs/>
          <w:b/>
        </w:rPr>
        <w:t xml:space="preserve">Manchester</w:t>
      </w:r>
      <w:r>
        <w:t xml:space="preserve"> </w:t>
      </w:r>
      <w:r>
        <w:t xml:space="preserve">office, representing a mix of public interest entities and private limited companies. The selection criteria ensured a representative sample of the work undertaken by the</w:t>
      </w:r>
      <w:r>
        <w:t xml:space="preserve"> </w:t>
      </w:r>
      <w:r>
        <w:rPr>
          <w:bCs/>
          <w:b/>
        </w:rPr>
        <w:t xml:space="preserve">Auditor</w:t>
      </w:r>
      <w:r>
        <w:t xml:space="preserve"> </w:t>
      </w:r>
      <w:r>
        <w:t xml:space="preserve">staff across different seniority levels.</w:t>
      </w:r>
    </w:p>
    <w:p>
      <w:pPr>
        <w:pStyle w:val="BodyText"/>
      </w:pPr>
      <w:r>
        <w:t xml:space="preserve">The methodology involved:</w:t>
      </w:r>
    </w:p>
    <w:p>
      <w:pPr>
        <w:numPr>
          <w:ilvl w:val="0"/>
          <w:numId w:val="1001"/>
        </w:numPr>
        <w:pStyle w:val="Compact"/>
      </w:pPr>
      <w:r>
        <w:t xml:space="preserve">Interviewing key personnel, including the Engagement Quality Control Reviewer (EQCR) and senior</w:t>
      </w:r>
      <w:r>
        <w:t xml:space="preserve"> </w:t>
      </w:r>
      <w:r>
        <w:rPr>
          <w:bCs/>
          <w:b/>
        </w:rPr>
        <w:t xml:space="preserve">Auditor</w:t>
      </w:r>
      <w:r>
        <w:t xml:space="preserve"> </w:t>
      </w:r>
      <w:r>
        <w:t xml:space="preserve">managers.</w:t>
      </w:r>
    </w:p>
    <w:p>
      <w:pPr>
        <w:numPr>
          <w:ilvl w:val="0"/>
          <w:numId w:val="1001"/>
        </w:numPr>
        <w:pStyle w:val="Compact"/>
      </w:pPr>
      <w:r>
        <w:t xml:space="preserve">Inspecting the firm's internal quality control manuals and training records.</w:t>
      </w:r>
    </w:p>
    <w:p>
      <w:pPr>
        <w:numPr>
          <w:ilvl w:val="0"/>
          <w:numId w:val="1001"/>
        </w:numPr>
        <w:pStyle w:val="Compact"/>
      </w:pPr>
      <w:r>
        <w:t xml:space="preserve">Performing a detailed file review of the selected engagements to verify compliance with ISAs (UK).</w:t>
      </w:r>
    </w:p>
    <w:p>
      <w:pPr>
        <w:numPr>
          <w:ilvl w:val="0"/>
          <w:numId w:val="1001"/>
        </w:numPr>
        <w:pStyle w:val="Compact"/>
      </w:pPr>
      <w:r>
        <w:t xml:space="preserve">Assessing the firm's independence and ethical compliance procedures.</w:t>
      </w:r>
    </w:p>
    <w:bookmarkEnd w:id="22"/>
    <w:bookmarkStart w:id="23" w:name="assessment-of-quality-control-systems"/>
    <w:p>
      <w:pPr>
        <w:pStyle w:val="Heading2"/>
      </w:pPr>
      <w:r>
        <w:t xml:space="preserve">3. Assessment of Quality Control Systems</w:t>
      </w:r>
    </w:p>
    <w:p>
      <w:pPr>
        <w:pStyle w:val="FirstParagraph"/>
      </w:pPr>
      <w:r>
        <w:t xml:space="preserve">The firm has established a quality control system that is generally appropriate for its size and the nature of its business in</w:t>
      </w:r>
      <w:r>
        <w:t xml:space="preserve"> </w:t>
      </w:r>
      <w:r>
        <w:rPr>
          <w:bCs/>
          <w:b/>
        </w:rPr>
        <w:t xml:space="preserve">Manchester</w:t>
      </w:r>
      <w:r>
        <w:t xml:space="preserve">. The leadership demonstrates a clear commitment to quality, evidenced by the "tone at the top" and the allocation of resources to training. The firm's policies regarding independence are well-documented and are regularly communicated to all</w:t>
      </w:r>
      <w:r>
        <w:t xml:space="preserve"> </w:t>
      </w:r>
      <w:r>
        <w:rPr>
          <w:bCs/>
          <w:b/>
        </w:rPr>
        <w:t xml:space="preserve">Auditor</w:t>
      </w:r>
      <w:r>
        <w:t xml:space="preserve"> </w:t>
      </w:r>
      <w:r>
        <w:t xml:space="preserve">staff.</w:t>
      </w:r>
    </w:p>
    <w:p>
      <w:pPr>
        <w:pStyle w:val="BodyText"/>
      </w:pPr>
      <w:r>
        <w:t xml:space="preserve">However, the review identified a gap in the monitoring of quality control procedures. While the firm conducts internal inspections, the findings are not always fed back into the training program effectively. To align with best practices in the</w:t>
      </w:r>
      <w:r>
        <w:t xml:space="preserve"> </w:t>
      </w:r>
      <w:r>
        <w:rPr>
          <w:bCs/>
          <w:b/>
        </w:rPr>
        <w:t xml:space="preserve">United Kingdom</w:t>
      </w:r>
      <w:r>
        <w:t xml:space="preserve">, the firm should implement a more dynamic feedback loop where peer review findings directly influence the continuing professional development (CPD) of the</w:t>
      </w:r>
      <w:r>
        <w:t xml:space="preserve"> </w:t>
      </w:r>
      <w:r>
        <w:rPr>
          <w:bCs/>
          <w:b/>
        </w:rPr>
        <w:t xml:space="preserve">Auditor</w:t>
      </w:r>
      <w:r>
        <w:t xml:space="preserve"> </w:t>
      </w:r>
      <w:r>
        <w:t xml:space="preserve">team.</w:t>
      </w:r>
    </w:p>
    <w:bookmarkEnd w:id="23"/>
    <w:bookmarkStart w:id="27" w:name="detailed-findings-on-audit-engagements"/>
    <w:p>
      <w:pPr>
        <w:pStyle w:val="Heading2"/>
      </w:pPr>
      <w:r>
        <w:t xml:space="preserve">4. Detailed Findings on Audit Engagements</w:t>
      </w:r>
    </w:p>
    <w:bookmarkStart w:id="24" w:name="risk-assessment-and-response"/>
    <w:p>
      <w:pPr>
        <w:pStyle w:val="Heading3"/>
      </w:pPr>
      <w:r>
        <w:t xml:space="preserve">4.1 Risk Assessment and Response</w:t>
      </w:r>
    </w:p>
    <w:p>
      <w:pPr>
        <w:pStyle w:val="FirstParagraph"/>
      </w:pPr>
      <w:r>
        <w:t xml:space="preserve">In the majority of files reviewed, the</w:t>
      </w:r>
      <w:r>
        <w:t xml:space="preserve"> </w:t>
      </w:r>
      <w:r>
        <w:rPr>
          <w:bCs/>
          <w:b/>
        </w:rPr>
        <w:t xml:space="preserve">Auditor</w:t>
      </w:r>
      <w:r>
        <w:t xml:space="preserve"> </w:t>
      </w:r>
      <w:r>
        <w:t xml:space="preserve">demonstrated a sound understanding of the client's business and the environment in which it operates. The identification of significant risks was generally appropriate. However, in one specific engagement involving a manufacturing client in Greater Manchester, the documentation regarding the assessment of fraud risk was insufficient. The</w:t>
      </w:r>
      <w:r>
        <w:t xml:space="preserve"> </w:t>
      </w:r>
      <w:r>
        <w:rPr>
          <w:bCs/>
          <w:b/>
        </w:rPr>
        <w:t xml:space="preserve">Auditor</w:t>
      </w:r>
      <w:r>
        <w:t xml:space="preserve"> </w:t>
      </w:r>
      <w:r>
        <w:t xml:space="preserve">failed to adequately document the discussion with management regarding their own assessment of fraud risks, as required by ISA (UK) 240.</w:t>
      </w:r>
    </w:p>
    <w:bookmarkEnd w:id="24"/>
    <w:bookmarkStart w:id="25" w:name="audit-evidence-and-documentation"/>
    <w:p>
      <w:pPr>
        <w:pStyle w:val="Heading3"/>
      </w:pPr>
      <w:r>
        <w:t xml:space="preserve">4.2 Audit Evidence and Documentation</w:t>
      </w:r>
    </w:p>
    <w:p>
      <w:pPr>
        <w:pStyle w:val="FirstParagraph"/>
      </w:pPr>
      <w:r>
        <w:t xml:space="preserve">A recurring theme in this</w:t>
      </w:r>
      <w:r>
        <w:t xml:space="preserve"> </w:t>
      </w:r>
      <w:r>
        <w:rPr>
          <w:bCs/>
          <w:b/>
        </w:rPr>
        <w:t xml:space="preserve">Peer Review Report</w:t>
      </w:r>
      <w:r>
        <w:t xml:space="preserve"> </w:t>
      </w:r>
      <w:r>
        <w:t xml:space="preserve">is the quality of audit documentation. While the substantive testing performed by the</w:t>
      </w:r>
      <w:r>
        <w:t xml:space="preserve"> </w:t>
      </w:r>
      <w:r>
        <w:rPr>
          <w:bCs/>
          <w:b/>
        </w:rPr>
        <w:t xml:space="preserve">Auditor</w:t>
      </w:r>
      <w:r>
        <w:t xml:space="preserve"> </w:t>
      </w:r>
      <w:r>
        <w:t xml:space="preserve">was generally effective, the working papers often lacked clarity regarding the conclusions reached. In the context of the</w:t>
      </w:r>
      <w:r>
        <w:t xml:space="preserve"> </w:t>
      </w:r>
      <w:r>
        <w:rPr>
          <w:bCs/>
          <w:b/>
        </w:rPr>
        <w:t xml:space="preserve">United Kingdom</w:t>
      </w:r>
      <w:r>
        <w:t xml:space="preserve"> </w:t>
      </w:r>
      <w:r>
        <w:t xml:space="preserve">regulatory landscape, where the FRC places significant emphasis on the "audit file as a record of the audit," this is a critical area for improvement. The documentation must be sufficient to enable an experienced</w:t>
      </w:r>
      <w:r>
        <w:t xml:space="preserve"> </w:t>
      </w:r>
      <w:r>
        <w:rPr>
          <w:bCs/>
          <w:b/>
        </w:rPr>
        <w:t xml:space="preserve">Auditor</w:t>
      </w:r>
      <w:r>
        <w:t xml:space="preserve">, having no previous connection with the audit, to understand the work performed.</w:t>
      </w:r>
    </w:p>
    <w:bookmarkEnd w:id="25"/>
    <w:bookmarkStart w:id="26" w:name="going-concern-assessment"/>
    <w:p>
      <w:pPr>
        <w:pStyle w:val="Heading3"/>
      </w:pPr>
      <w:r>
        <w:t xml:space="preserve">4.3 Going Concern Assessment</w:t>
      </w:r>
    </w:p>
    <w:p>
      <w:pPr>
        <w:pStyle w:val="FirstParagraph"/>
      </w:pPr>
      <w:r>
        <w:t xml:space="preserve">Given the economic climate in</w:t>
      </w:r>
      <w:r>
        <w:t xml:space="preserve"> </w:t>
      </w:r>
      <w:r>
        <w:rPr>
          <w:bCs/>
          <w:b/>
        </w:rPr>
        <w:t xml:space="preserve">Manchester</w:t>
      </w:r>
      <w:r>
        <w:t xml:space="preserve"> </w:t>
      </w:r>
      <w:r>
        <w:t xml:space="preserve">and the wider UK, the assessment of going concern is paramount. The review found that the</w:t>
      </w:r>
      <w:r>
        <w:t xml:space="preserve"> </w:t>
      </w:r>
      <w:r>
        <w:rPr>
          <w:bCs/>
          <w:b/>
        </w:rPr>
        <w:t xml:space="preserve">Auditor</w:t>
      </w:r>
      <w:r>
        <w:t xml:space="preserve"> </w:t>
      </w:r>
      <w:r>
        <w:t xml:space="preserve">appropriately challenged management's cash flow forecasts. However, in one instance, the</w:t>
      </w:r>
      <w:r>
        <w:t xml:space="preserve"> </w:t>
      </w:r>
      <w:r>
        <w:rPr>
          <w:bCs/>
          <w:b/>
        </w:rPr>
        <w:t xml:space="preserve">Auditor</w:t>
      </w:r>
      <w:r>
        <w:t xml:space="preserve"> </w:t>
      </w:r>
      <w:r>
        <w:t xml:space="preserve">relied too heavily on management representations without obtaining sufficient corroborating evidence regarding future financing arrangements. This represents a moderate deficiency in the application of ISA (UK) 570.</w:t>
      </w:r>
    </w:p>
    <w:bookmarkEnd w:id="26"/>
    <w:bookmarkEnd w:id="27"/>
    <w:bookmarkStart w:id="28" w:name="ethical-compliance-and-independence"/>
    <w:p>
      <w:pPr>
        <w:pStyle w:val="Heading2"/>
      </w:pPr>
      <w:r>
        <w:t xml:space="preserve">5. Ethical Compliance and Independence</w:t>
      </w:r>
    </w:p>
    <w:p>
      <w:pPr>
        <w:pStyle w:val="FirstParagraph"/>
      </w:pPr>
      <w:r>
        <w:t xml:space="preserve">The firm's adherence to the FRC Ethical Standard was found to be satisfactory. The</w:t>
      </w:r>
      <w:r>
        <w:t xml:space="preserve"> </w:t>
      </w:r>
      <w:r>
        <w:rPr>
          <w:bCs/>
          <w:b/>
        </w:rPr>
        <w:t xml:space="preserve">Auditor</w:t>
      </w:r>
      <w:r>
        <w:t xml:space="preserve"> </w:t>
      </w:r>
      <w:r>
        <w:t xml:space="preserve">team maintained appropriate independence, and there were no breaches of the cooling-off periods or financial interest restrictions. The firm's conflict of interest checks are robust and are conducted at the onset of every new engagement in the</w:t>
      </w:r>
      <w:r>
        <w:t xml:space="preserve"> </w:t>
      </w:r>
      <w:r>
        <w:rPr>
          <w:bCs/>
          <w:b/>
        </w:rPr>
        <w:t xml:space="preserve">Manchester</w:t>
      </w:r>
      <w:r>
        <w:t xml:space="preserve"> </w:t>
      </w:r>
      <w:r>
        <w:t xml:space="preserve">region.</w:t>
      </w:r>
    </w:p>
    <w:bookmarkEnd w:id="28"/>
    <w:bookmarkStart w:id="29" w:name="conclusion-and-recommendations"/>
    <w:p>
      <w:pPr>
        <w:pStyle w:val="Heading2"/>
      </w:pPr>
      <w:r>
        <w:t xml:space="preserve">6. Conclusion and Recommendations</w:t>
      </w:r>
    </w:p>
    <w:p>
      <w:pPr>
        <w:pStyle w:val="FirstParagraph"/>
      </w:pPr>
      <w:r>
        <w:t xml:space="preserve">Based on the evidence gathered, this</w:t>
      </w:r>
      <w:r>
        <w:t xml:space="preserve"> </w:t>
      </w:r>
      <w:r>
        <w:rPr>
          <w:bCs/>
          <w:b/>
        </w:rPr>
        <w:t xml:space="preserve">Peer Review Report</w:t>
      </w:r>
      <w:r>
        <w:t xml:space="preserve"> </w:t>
      </w:r>
      <w:r>
        <w:t xml:space="preserve">concludes that Manchester Assurance Partners LLP provides audit services that are generally in compliance with the standards required in the</w:t>
      </w:r>
      <w:r>
        <w:t xml:space="preserve"> </w:t>
      </w:r>
      <w:r>
        <w:rPr>
          <w:bCs/>
          <w:b/>
        </w:rPr>
        <w:t xml:space="preserve">United Kingdom</w:t>
      </w:r>
      <w:r>
        <w:t xml:space="preserve">. The</w:t>
      </w:r>
      <w:r>
        <w:t xml:space="preserve"> </w:t>
      </w:r>
      <w:r>
        <w:rPr>
          <w:bCs/>
          <w:b/>
        </w:rPr>
        <w:t xml:space="preserve">Auditor</w:t>
      </w:r>
      <w:r>
        <w:t xml:space="preserve"> </w:t>
      </w:r>
      <w:r>
        <w:t xml:space="preserve">team demonstrates professional competence and skepticism. However, to achieve a rating of "No Deficiencies," the firm must address the following recommendations:</w:t>
      </w:r>
    </w:p>
    <w:p>
      <w:pPr>
        <w:numPr>
          <w:ilvl w:val="0"/>
          <w:numId w:val="1002"/>
        </w:numPr>
        <w:pStyle w:val="Compact"/>
      </w:pPr>
      <w:r>
        <w:rPr>
          <w:bCs/>
          <w:b/>
        </w:rPr>
        <w:t xml:space="preserve">Enhance Documentation Standards:</w:t>
      </w:r>
      <w:r>
        <w:t xml:space="preserve"> </w:t>
      </w:r>
      <w:r>
        <w:t xml:space="preserve">The firm should update its audit methodology to ensure that working papers clearly link evidence to conclusions. This is vital for the defensibility of the</w:t>
      </w:r>
      <w:r>
        <w:t xml:space="preserve"> </w:t>
      </w:r>
      <w:r>
        <w:rPr>
          <w:bCs/>
          <w:b/>
        </w:rPr>
        <w:t xml:space="preserve">Auditor</w:t>
      </w:r>
      <w:r>
        <w:t xml:space="preserve">'s opinion.</w:t>
      </w:r>
    </w:p>
    <w:p>
      <w:pPr>
        <w:numPr>
          <w:ilvl w:val="0"/>
          <w:numId w:val="1002"/>
        </w:numPr>
        <w:pStyle w:val="Compact"/>
      </w:pPr>
      <w:r>
        <w:rPr>
          <w:bCs/>
          <w:b/>
        </w:rPr>
        <w:t xml:space="preserve">Strengthen Fraud Risk Documentation:</w:t>
      </w:r>
      <w:r>
        <w:t xml:space="preserve"> </w:t>
      </w:r>
      <w:r>
        <w:t xml:space="preserve">Specific training should be provided to the</w:t>
      </w:r>
      <w:r>
        <w:t xml:space="preserve"> </w:t>
      </w:r>
      <w:r>
        <w:rPr>
          <w:bCs/>
          <w:b/>
        </w:rPr>
        <w:t xml:space="preserve">Auditor</w:t>
      </w:r>
      <w:r>
        <w:t xml:space="preserve"> </w:t>
      </w:r>
      <w:r>
        <w:t xml:space="preserve">staff in</w:t>
      </w:r>
      <w:r>
        <w:t xml:space="preserve"> </w:t>
      </w:r>
      <w:r>
        <w:rPr>
          <w:bCs/>
          <w:b/>
        </w:rPr>
        <w:t xml:space="preserve">Manchester</w:t>
      </w:r>
      <w:r>
        <w:t xml:space="preserve"> </w:t>
      </w:r>
      <w:r>
        <w:t xml:space="preserve">regarding the documentation requirements of ISA (UK) 240.</w:t>
      </w:r>
    </w:p>
    <w:p>
      <w:pPr>
        <w:numPr>
          <w:ilvl w:val="0"/>
          <w:numId w:val="1002"/>
        </w:numPr>
        <w:pStyle w:val="Compact"/>
      </w:pPr>
      <w:r>
        <w:rPr>
          <w:bCs/>
          <w:b/>
        </w:rPr>
        <w:t xml:space="preserve">Improve Quality Monitoring Feedback:</w:t>
      </w:r>
      <w:r>
        <w:t xml:space="preserve"> </w:t>
      </w:r>
      <w:r>
        <w:t xml:space="preserve">The firm should ensure that findings from this peer review are integrated into the annual training plan for all audit staff.</w:t>
      </w:r>
    </w:p>
    <w:p>
      <w:pPr>
        <w:pStyle w:val="FirstParagraph"/>
      </w:pPr>
      <w:r>
        <w:t xml:space="preserve">The firm is required to submit a remediation plan addressing these points within 60 days. Failure to address these issues may impact the firm's standing with the relevant professional bodies in the</w:t>
      </w:r>
      <w:r>
        <w:t xml:space="preserve"> </w:t>
      </w:r>
      <w:r>
        <w:rPr>
          <w:bCs/>
          <w:b/>
        </w:rPr>
        <w:t xml:space="preserve">United Kingdom</w:t>
      </w:r>
      <w:r>
        <w:t xml:space="preserve">.</w:t>
      </w:r>
    </w:p>
    <w:p>
      <w:pPr>
        <w:pStyle w:val="BodyText"/>
      </w:pPr>
      <w:r>
        <w:rPr>
          <w:bCs/>
          <w:b/>
        </w:rPr>
        <w:t xml:space="preserve">Lead Reviewer Signature:</w:t>
      </w:r>
      <w:r>
        <w:br/>
      </w:r>
      <w:r>
        <w:t xml:space="preserve">J. A. Sterling, FCA</w:t>
      </w:r>
      <w:r>
        <w:br/>
      </w:r>
      <w:r>
        <w:t xml:space="preserve">Date: 24/10/2023</w:t>
      </w:r>
    </w:p>
    <w:p>
      <w:pPr>
        <w:pStyle w:val="BodyText"/>
      </w:pPr>
      <w:r>
        <w:rPr>
          <w:bCs/>
          <w:b/>
        </w:rPr>
        <w:t xml:space="preserve">Partner Acknowledgement:</w:t>
      </w:r>
      <w:r>
        <w:br/>
      </w:r>
      <w:r>
        <w:t xml:space="preserve">[Signature]</w:t>
      </w:r>
      <w:r>
        <w:br/>
      </w:r>
      <w:r>
        <w:t xml:space="preserve">Date: _______________</w:t>
      </w:r>
    </w:p>
    <w:p>
      <w:pPr>
        <w:pStyle w:val="BodyText"/>
      </w:pPr>
      <w:r>
        <w:t xml:space="preserve">This document is confidential and intended solely for the use of the addressee. It constitutes a formal Peer Review Report regarding the audit quality of the subject firm in Manchester, United Kingdom.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Quality Assurance</dc:title>
  <dc:creator/>
  <dc:language>en</dc:language>
  <cp:keywords/>
  <dcterms:created xsi:type="dcterms:W3CDTF">2026-10-10T09:48:52Z</dcterms:created>
  <dcterms:modified xsi:type="dcterms:W3CDTF">2026-10-10T09:48:52Z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