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Auditor Performance and Compliance</w:t>
      </w:r>
    </w:p>
    <w:p>
      <w:pPr>
        <w:pStyle w:val="BodyText"/>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performance, technical competence, and ethical adherence of the designated Auditor within our firm’s Chicago office. Operating within the rigorous regulatory environment of the United States, specifically adhering to the standards set by the Public Company Accounting Oversight Board (PCAOB) and the American Institute of Certified Public Accountants (AICPA), this review aims to ensure the highest quality of financial reporting and audit integrity. The evaluation focuses on the Auditor's ability to navigate complex financial landscapes typical of major corporate entities based in Chicago, while maintaining strict compliance with Generally Accepted Auditing Standards (GAAS).</w:t>
      </w:r>
    </w:p>
    <w:bookmarkEnd w:id="21"/>
    <w:bookmarkStart w:id="22" w:name="scope-and-methodology"/>
    <w:p>
      <w:pPr>
        <w:pStyle w:val="Heading2"/>
      </w:pPr>
      <w:r>
        <w:t xml:space="preserve">2. Scope and Methodology</w:t>
      </w:r>
    </w:p>
    <w:p>
      <w:pPr>
        <w:pStyle w:val="FirstParagraph"/>
      </w:pPr>
      <w:r>
        <w:t xml:space="preserve">The scope of this peer review encompasses a detailed analysis of the Auditor’s work on three major engagements conducted during the review period. These engagements included audits of public companies listed on the NASDAQ and NYSE, as well as a private equity firm headquartered in the Chicago metropolitan area. The methodology involved a thorough examination of working papers, risk assessment models, internal control evaluations, and final audit reports. Additionally, interviews were conducted with engagement team members and clients to gauge the Auditor’s leadership, communication skills, and professional demeanor.</w:t>
      </w:r>
    </w:p>
    <w:bookmarkEnd w:id="22"/>
    <w:bookmarkStart w:id="23" w:name="technical-competence-and-audit-quality"/>
    <w:p>
      <w:pPr>
        <w:pStyle w:val="Heading2"/>
      </w:pPr>
      <w:r>
        <w:t xml:space="preserve">3. Technical Competence and Audit Quality</w:t>
      </w:r>
    </w:p>
    <w:p>
      <w:pPr>
        <w:pStyle w:val="FirstParagraph"/>
      </w:pPr>
      <w:r>
        <w:t xml:space="preserve">The Auditor demonstrated a robust understanding of US GAAP and the specific regulatory requirements pertinent to the Chicago market. In the review of the working papers, it was evident that the Auditor applied professional skepticism effectively, particularly when assessing revenue recognition policies and complex financial instruments. The depth of the risk assessment procedures was commensurate with the size and complexity of the clients, ensuring that material misstatements were identified and addressed.</w:t>
      </w:r>
    </w:p>
    <w:p>
      <w:pPr>
        <w:pStyle w:val="BodyText"/>
      </w:pPr>
      <w:r>
        <w:t xml:space="preserve">Notably, the Auditor’s approach to internal controls was rigorous. The evaluation of IT general controls and application controls was thorough, reflecting an awareness of the technological risks prevalent in modern financial environments. The documentation provided clear evidence of the procedures performed, the evidence obtained, and the conclusions reached, aligning perfectly with the documentation standards required by the AICPA.</w:t>
      </w:r>
    </w:p>
    <w:bookmarkEnd w:id="23"/>
    <w:bookmarkStart w:id="24" w:name="ethical-standards-and-independence"/>
    <w:p>
      <w:pPr>
        <w:pStyle w:val="Heading2"/>
      </w:pPr>
      <w:r>
        <w:t xml:space="preserve">4. Ethical Standards and Independence</w:t>
      </w:r>
    </w:p>
    <w:p>
      <w:pPr>
        <w:pStyle w:val="FirstParagraph"/>
      </w:pPr>
      <w:r>
        <w:t xml:space="preserve">Adherence to ethical standards is paramount for any Auditor operating in the United States. This review confirms that the subject Auditor maintained strict independence in both fact and appearance throughout all engagements. There were no conflicts of interest identified, and all necessary disclosures were made in accordance with the AICPA Code of Professional Conduct. The Auditor consistently demonstrated integrity and objectivity, refusing to compromise audit quality under client pressure, which is a critical attribute for maintaining public trust in the financial markets of Chicago and beyond.</w:t>
      </w:r>
    </w:p>
    <w:bookmarkEnd w:id="24"/>
    <w:bookmarkStart w:id="25" w:name="leadership-and-team-management"/>
    <w:p>
      <w:pPr>
        <w:pStyle w:val="Heading2"/>
      </w:pPr>
      <w:r>
        <w:t xml:space="preserve">5. Leadership and Team Management</w:t>
      </w:r>
    </w:p>
    <w:p>
      <w:pPr>
        <w:pStyle w:val="FirstParagraph"/>
      </w:pPr>
      <w:r>
        <w:t xml:space="preserve">As a senior member of the audit team, the Auditor played a pivotal role in mentoring junior staff. Feedback from team members indicates that the Auditor provided clear guidance, constructive feedback, and fostered a collaborative work environment. The Auditor’s ability to manage time effectively and allocate resources efficiently contributed to the timely completion of all audits within the review period. Furthermore, the Auditor’s communication with client management in Chicago was professional and assertive, ensuring that audit findings were conveyed clearly and that necessary adjustments were implemented.</w:t>
      </w:r>
    </w:p>
    <w:bookmarkEnd w:id="25"/>
    <w:bookmarkStart w:id="26" w:name="areas-for-improvement"/>
    <w:p>
      <w:pPr>
        <w:pStyle w:val="Heading2"/>
      </w:pPr>
      <w:r>
        <w:t xml:space="preserve">6. Areas for Improvement</w:t>
      </w:r>
    </w:p>
    <w:p>
      <w:pPr>
        <w:pStyle w:val="FirstParagraph"/>
      </w:pPr>
      <w:r>
        <w:t xml:space="preserve">While the overall performance of the Auditor is highly satisfactory, there are areas where enhancement is recommended. First, there is an opportunity to deepen expertise in emerging technologies, such as blockchain and AI-driven financial reporting, which are increasingly relevant in the Chicago tech sector. Second, while the documentation is generally excellent, there were minor instances where the linkage between specific audit procedures and the corresponding risk assessments could be more explicitly detailed. Strengthening this linkage will further bolster the defensibility of the audit opinions in the event of regulatory scrutiny.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Auditor meets and often exceeds the professional standards expected of a practitioner in the United States. The Auditor’s technical proficiency, ethical integrity, and leadership capabilities make them a valuable asset to the firm and a reliable guardian of financial integrity in the Chicago market. It is recommended that the Auditor continue their professional development, particularly in the areas of technology and advanced risk analytics, to stay ahead of the evolving audit landscape.</w:t>
      </w:r>
    </w:p>
    <w:p>
      <w:pPr>
        <w:pStyle w:val="BodyText"/>
      </w:pPr>
      <w:r>
        <w:t xml:space="preserve">This report is submitted for the records of the firm’s quality control department and serves as a testament to the Auditor’s commitment to excellence in the field of auditing.</w:t>
      </w:r>
    </w:p>
    <w:bookmarkEnd w:id="27"/>
    <w:p>
      <w:pPr>
        <w:pStyle w:val="BodyText"/>
      </w:pPr>
      <w:r>
        <w:rPr>
          <w:bCs/>
          <w:b/>
        </w:rPr>
        <w:t xml:space="preserve">Reviewed By:</w:t>
      </w:r>
    </w:p>
    <w:p>
      <w:pPr>
        <w:pStyle w:val="BodyText"/>
      </w:pPr>
      <w:r>
        <w:t xml:space="preserve">__________________________</w:t>
      </w:r>
    </w:p>
    <w:p>
      <w:pPr>
        <w:pStyle w:val="BodyText"/>
      </w:pPr>
      <w:r>
        <w:t xml:space="preserve">Senior Partner, Quality Assurance</w:t>
      </w:r>
    </w:p>
    <w:p>
      <w:pPr>
        <w:pStyle w:val="BodyText"/>
      </w:pPr>
      <w:r>
        <w:t xml:space="preserve">Chicago Office,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Chicago, United States</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