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competence, and adherence to professional standards of an Auditor operating within the jurisdiction of Houston, Texas, in the United States. The purpose of this review is to ensure that the Auditor maintains the highest levels of integrity, objectivity, and technical proficiency in accordance with the Generally Accepted Auditing Standards (GAAS) and the regulations set forth by the Public Company Accounting Oversight Board (PCAOB). This document serves as a formal assessment of the Auditor's work quality, compliance with ethical guidelines, and effectiveness in delivering audit services to clients in the Houston metropolitan area.</w:t>
      </w:r>
    </w:p>
    <w:bookmarkEnd w:id="21"/>
    <w:bookmarkStart w:id="22" w:name="scope-of-the-review"/>
    <w:p>
      <w:pPr>
        <w:pStyle w:val="Heading2"/>
      </w:pPr>
      <w:r>
        <w:t xml:space="preserve">2. Scope of the Review</w:t>
      </w:r>
    </w:p>
    <w:p>
      <w:pPr>
        <w:pStyle w:val="FirstParagraph"/>
      </w:pPr>
      <w:r>
        <w:t xml:space="preserve">The scope of this Peer Review encompasses a comprehensive evaluation of the Auditor's practices over the past fiscal year. The review includes an examination of audit planning, execution, documentation, and reporting processes. Special attention is given to the Auditor's ability to navigate the unique regulatory environment of Houston, which is characterized by a diverse economy with significant sectors in energy, healthcare, and technology. The review also assesses the Auditor's compliance with the Texas State Board of Public Accountancy (TSBPA) requirements and any additional local regulations that may apply.</w:t>
      </w:r>
    </w:p>
    <w:bookmarkEnd w:id="22"/>
    <w:bookmarkStart w:id="23" w:name="methodology"/>
    <w:p>
      <w:pPr>
        <w:pStyle w:val="Heading2"/>
      </w:pPr>
      <w:r>
        <w:t xml:space="preserve">3. Methodology</w:t>
      </w:r>
    </w:p>
    <w:p>
      <w:pPr>
        <w:pStyle w:val="FirstParagraph"/>
      </w:pPr>
      <w:r>
        <w:t xml:space="preserve">The Peer Review was conducted using a combination of document analysis, interviews with key personnel, and on-site observations. The review team examined a sample of audit files to evaluate the quality of work performed, the adequacy of documentation, and the adherence to professional standards. Interviews were conducted with the Auditor, audit staff, and selected clients to gather insights into the Auditor's performance, communication skills, and client satisfaction levels. Additionally, the review team assessed the Auditor's internal quality control procedures and their effectiveness in ensuring consistent audit quality.</w:t>
      </w:r>
    </w:p>
    <w:bookmarkEnd w:id="23"/>
    <w:bookmarkStart w:id="24" w:name="evaluation-criteria"/>
    <w:p>
      <w:pPr>
        <w:pStyle w:val="Heading2"/>
      </w:pPr>
      <w:r>
        <w:t xml:space="preserve">4. Evaluation Criteria</w:t>
      </w:r>
    </w:p>
    <w:p>
      <w:pPr>
        <w:pStyle w:val="FirstParagraph"/>
      </w:pPr>
      <w:r>
        <w:t xml:space="preserve">The evaluation of the Auditor was based on the following criteria:</w:t>
      </w:r>
    </w:p>
    <w:p>
      <w:pPr>
        <w:numPr>
          <w:ilvl w:val="0"/>
          <w:numId w:val="1001"/>
        </w:numPr>
        <w:pStyle w:val="Compact"/>
      </w:pPr>
      <w:r>
        <w:rPr>
          <w:bCs/>
          <w:b/>
        </w:rPr>
        <w:t xml:space="preserve">Technical Competence:</w:t>
      </w:r>
      <w:r>
        <w:t xml:space="preserve"> </w:t>
      </w:r>
      <w:r>
        <w:t xml:space="preserve">The Auditor's knowledge and application of auditing standards, accounting principles, and industry-specific regulations.</w:t>
      </w:r>
    </w:p>
    <w:p>
      <w:pPr>
        <w:numPr>
          <w:ilvl w:val="0"/>
          <w:numId w:val="1001"/>
        </w:numPr>
        <w:pStyle w:val="Compact"/>
      </w:pPr>
      <w:r>
        <w:rPr>
          <w:bCs/>
          <w:b/>
        </w:rPr>
        <w:t xml:space="preserve">Professional Skepticism:</w:t>
      </w:r>
      <w:r>
        <w:t xml:space="preserve"> </w:t>
      </w:r>
      <w:r>
        <w:t xml:space="preserve">The Auditor's ability to maintain an objective and questioning mindset throughout the audit process.</w:t>
      </w:r>
    </w:p>
    <w:p>
      <w:pPr>
        <w:numPr>
          <w:ilvl w:val="0"/>
          <w:numId w:val="1001"/>
        </w:numPr>
        <w:pStyle w:val="Compact"/>
      </w:pPr>
      <w:r>
        <w:rPr>
          <w:bCs/>
          <w:b/>
        </w:rPr>
        <w:t xml:space="preserve">Documentation Quality:</w:t>
      </w:r>
      <w:r>
        <w:t xml:space="preserve"> </w:t>
      </w:r>
      <w:r>
        <w:t xml:space="preserve">The completeness, accuracy, and clarity of audit documentation.</w:t>
      </w:r>
    </w:p>
    <w:p>
      <w:pPr>
        <w:numPr>
          <w:ilvl w:val="0"/>
          <w:numId w:val="1001"/>
        </w:numPr>
        <w:pStyle w:val="Compact"/>
      </w:pPr>
      <w:r>
        <w:rPr>
          <w:bCs/>
          <w:b/>
        </w:rPr>
        <w:t xml:space="preserve">Compliance with Standards:</w:t>
      </w:r>
      <w:r>
        <w:t xml:space="preserve"> </w:t>
      </w:r>
      <w:r>
        <w:t xml:space="preserve">Adherence to GAAS, PCAOB standards, and TSBPA regulations.</w:t>
      </w:r>
    </w:p>
    <w:p>
      <w:pPr>
        <w:numPr>
          <w:ilvl w:val="0"/>
          <w:numId w:val="1001"/>
        </w:numPr>
        <w:pStyle w:val="Compact"/>
      </w:pPr>
      <w:r>
        <w:rPr>
          <w:bCs/>
          <w:b/>
        </w:rPr>
        <w:t xml:space="preserve">Client Communication:</w:t>
      </w:r>
      <w:r>
        <w:t xml:space="preserve"> </w:t>
      </w:r>
      <w:r>
        <w:t xml:space="preserve">The Auditor's effectiveness in communicating with clients, including the clarity of audit findings and recommendations.</w:t>
      </w:r>
    </w:p>
    <w:p>
      <w:pPr>
        <w:numPr>
          <w:ilvl w:val="0"/>
          <w:numId w:val="1001"/>
        </w:numPr>
        <w:pStyle w:val="Compact"/>
      </w:pPr>
      <w:r>
        <w:rPr>
          <w:bCs/>
          <w:b/>
        </w:rPr>
        <w:t xml:space="preserve">Quality Control:</w:t>
      </w:r>
      <w:r>
        <w:t xml:space="preserve"> </w:t>
      </w:r>
      <w:r>
        <w:t xml:space="preserve">The robustness of the Auditor's internal quality control procedures.</w:t>
      </w:r>
    </w:p>
    <w:bookmarkEnd w:id="24"/>
    <w:bookmarkStart w:id="27" w:name="findings"/>
    <w:p>
      <w:pPr>
        <w:pStyle w:val="Heading2"/>
      </w:pPr>
      <w:r>
        <w:t xml:space="preserve">5. Findings</w:t>
      </w:r>
    </w:p>
    <w:p>
      <w:pPr>
        <w:pStyle w:val="FirstParagraph"/>
      </w:pPr>
      <w:r>
        <w:t xml:space="preserve">Based on the review, the following findings were identified:</w:t>
      </w:r>
    </w:p>
    <w:bookmarkStart w:id="25" w:name="strengths"/>
    <w:p>
      <w:pPr>
        <w:pStyle w:val="Heading3"/>
      </w:pPr>
      <w:r>
        <w:t xml:space="preserve">5.1 Strengths</w:t>
      </w:r>
    </w:p>
    <w:p>
      <w:pPr>
        <w:numPr>
          <w:ilvl w:val="0"/>
          <w:numId w:val="1002"/>
        </w:numPr>
        <w:pStyle w:val="Compact"/>
      </w:pPr>
      <w:r>
        <w:t xml:space="preserve">The Auditor demonstrated a strong understanding of GAAS and PCAOB standards, with audit procedures appropriately designed and executed.</w:t>
      </w:r>
    </w:p>
    <w:p>
      <w:pPr>
        <w:numPr>
          <w:ilvl w:val="0"/>
          <w:numId w:val="1002"/>
        </w:numPr>
        <w:pStyle w:val="Compact"/>
      </w:pPr>
      <w:r>
        <w:t xml:space="preserve">Audit documentation was generally thorough and well-organized, providing clear evidence of the work performed and conclusions reached.</w:t>
      </w:r>
    </w:p>
    <w:p>
      <w:pPr>
        <w:numPr>
          <w:ilvl w:val="0"/>
          <w:numId w:val="1002"/>
        </w:numPr>
        <w:pStyle w:val="Compact"/>
      </w:pPr>
      <w:r>
        <w:t xml:space="preserve">The Auditor exhibited a high level of professional skepticism, particularly in areas of higher risk, such as revenue recognition and related-party transactions.</w:t>
      </w:r>
    </w:p>
    <w:p>
      <w:pPr>
        <w:numPr>
          <w:ilvl w:val="0"/>
          <w:numId w:val="1002"/>
        </w:numPr>
        <w:pStyle w:val="Compact"/>
      </w:pPr>
      <w:r>
        <w:t xml:space="preserve">Client communication was effective, with timely and clear reporting of audit findings and recommendations.</w:t>
      </w:r>
    </w:p>
    <w:bookmarkEnd w:id="25"/>
    <w:bookmarkStart w:id="26" w:name="areas-for-improvement"/>
    <w:p>
      <w:pPr>
        <w:pStyle w:val="Heading3"/>
      </w:pPr>
      <w:r>
        <w:t xml:space="preserve">5.2 Areas for Improvement</w:t>
      </w:r>
    </w:p>
    <w:p>
      <w:pPr>
        <w:numPr>
          <w:ilvl w:val="0"/>
          <w:numId w:val="1003"/>
        </w:numPr>
        <w:pStyle w:val="Compact"/>
      </w:pPr>
      <w:r>
        <w:t xml:space="preserve">There were instances where audit documentation lacked sufficient detail to support certain conclusions, particularly in complex areas such as fair value measurements.</w:t>
      </w:r>
    </w:p>
    <w:p>
      <w:pPr>
        <w:numPr>
          <w:ilvl w:val="0"/>
          <w:numId w:val="1003"/>
        </w:numPr>
        <w:pStyle w:val="Compact"/>
      </w:pPr>
      <w:r>
        <w:t xml:space="preserve">The Auditor's internal quality control procedures could be strengthened to ensure more consistent application of standards across all audit engagements.</w:t>
      </w:r>
    </w:p>
    <w:p>
      <w:pPr>
        <w:numPr>
          <w:ilvl w:val="0"/>
          <w:numId w:val="1003"/>
        </w:numPr>
        <w:pStyle w:val="Compact"/>
      </w:pPr>
      <w:r>
        <w:t xml:space="preserve">Further training on emerging industry trends and regulatory changes in Houston's energy sector would enhance the Auditor's ability to address sector-specific risks.</w:t>
      </w:r>
    </w:p>
    <w:bookmarkEnd w:id="26"/>
    <w:bookmarkEnd w:id="27"/>
    <w:bookmarkStart w:id="28" w:name="recommendations"/>
    <w:p>
      <w:pPr>
        <w:pStyle w:val="Heading2"/>
      </w:pPr>
      <w:r>
        <w:t xml:space="preserve">6. Recommendations</w:t>
      </w:r>
    </w:p>
    <w:p>
      <w:pPr>
        <w:pStyle w:val="FirstParagraph"/>
      </w:pPr>
      <w:r>
        <w:t xml:space="preserve">To address the areas for improvement identified in this Peer Review, the following recommendations are made:</w:t>
      </w:r>
    </w:p>
    <w:p>
      <w:pPr>
        <w:numPr>
          <w:ilvl w:val="0"/>
          <w:numId w:val="1004"/>
        </w:numPr>
        <w:pStyle w:val="Compact"/>
      </w:pPr>
      <w:r>
        <w:t xml:space="preserve">Enhance audit documentation practices by providing additional guidance and training to audit staff on the level of detail required to support audit conclusions.</w:t>
      </w:r>
    </w:p>
    <w:p>
      <w:pPr>
        <w:numPr>
          <w:ilvl w:val="0"/>
          <w:numId w:val="1004"/>
        </w:numPr>
        <w:pStyle w:val="Compact"/>
      </w:pPr>
      <w:r>
        <w:t xml:space="preserve">Implement a more robust internal quality control framework, including regular reviews of audit files by senior personnel and the use of standardized checklists.</w:t>
      </w:r>
    </w:p>
    <w:p>
      <w:pPr>
        <w:numPr>
          <w:ilvl w:val="0"/>
          <w:numId w:val="1004"/>
        </w:numPr>
        <w:pStyle w:val="Compact"/>
      </w:pPr>
      <w:r>
        <w:t xml:space="preserve">Invest in ongoing professional development for the Auditor and audit staff, with a focus on emerging trends in Houston's key industries and changes in regulatory requirements.</w:t>
      </w:r>
    </w:p>
    <w:p>
      <w:pPr>
        <w:numPr>
          <w:ilvl w:val="0"/>
          <w:numId w:val="1004"/>
        </w:numPr>
        <w:pStyle w:val="Compact"/>
      </w:pPr>
      <w:r>
        <w:t xml:space="preserve">Strengthen communication with clients by providing more detailed explanations of audit findings and recommendations, particularly in areas of higher risk.</w:t>
      </w:r>
    </w:p>
    <w:bookmarkEnd w:id="28"/>
    <w:bookmarkStart w:id="29" w:name="conclusion"/>
    <w:p>
      <w:pPr>
        <w:pStyle w:val="Heading2"/>
      </w:pPr>
      <w:r>
        <w:t xml:space="preserve">7. Conclusion</w:t>
      </w:r>
    </w:p>
    <w:p>
      <w:pPr>
        <w:pStyle w:val="FirstParagraph"/>
      </w:pPr>
      <w:r>
        <w:t xml:space="preserve">Overall, the Auditor has demonstrated a strong commitment to maintaining high standards of audit quality and compliance with professional regulations in Houston, Texas. While there are areas for improvement, the Auditor's performance is generally satisfactory, and the recommendations provided in this Peer Review Report are intended to support continued growth and excellence in audit practice. It is recommended that the Auditor implement the suggested improvements and undergo a follow-up review to assess progress.</w:t>
      </w:r>
    </w:p>
    <w:bookmarkEnd w:id="29"/>
    <w:p>
      <w:pPr>
        <w:pStyle w:val="BodyText"/>
      </w:pPr>
      <w:r>
        <w:rPr>
          <w:bCs/>
          <w:b/>
        </w:rPr>
        <w:t xml:space="preserve">Prepared by:</w:t>
      </w:r>
    </w:p>
    <w:p>
      <w:pPr>
        <w:pStyle w:val="BodyText"/>
      </w:pPr>
      <w:r>
        <w:t xml:space="preserve">Peer Review Team</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dc:title>
  <dc:creator/>
  <dc:language>en</dc:language>
  <cp:keywords/>
  <dcterms:created xsi:type="dcterms:W3CDTF">2026-10-10T08:51:36Z</dcterms:created>
  <dcterms:modified xsi:type="dcterms:W3CDTF">2026-10-10T08:51:36Z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