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Evaluation</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Auditor Performance and Compliance</w:t>
      </w:r>
    </w:p>
    <w:p>
      <w:pPr>
        <w:pStyle w:val="BodyText"/>
      </w:pPr>
      <w:r>
        <w:rPr>
          <w:bCs/>
          <w:b/>
        </w:rPr>
        <w:t xml:space="preserve">Location:</w:t>
      </w:r>
      <w:r>
        <w:t xml:space="preserve"> </w:t>
      </w:r>
      <w:r>
        <w:t xml:space="preserve">Los Angeles, California, United States</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competence, and regulatory compliance of the designated Auditor within the jurisdiction of Los Angeles, United States. The purpose of this review is to ensure that the Auditor adheres to the Generally Accepted Auditing Standards (GAAS) issued by the American Institute of Certified Public Accountants (AICPA), as well as the specific regulatory requirements enforced by the California Board of Accountancy.</w:t>
      </w:r>
    </w:p>
    <w:p>
      <w:pPr>
        <w:pStyle w:val="BodyText"/>
      </w:pPr>
      <w:r>
        <w:t xml:space="preserve">The review process involved a comprehensive analysis of audit files, client communications, and internal control assessments conducted during the specified review period. The findings indicate that the Auditor maintains a high level of professional skepticism and technical proficiency. However, certain areas regarding documentation efficiency and adherence to local Los Angeles municipal reporting nuances require attention. This report outlines the detailed findings, observations, and recommendations to enhance the quality of audit services provided in this region.</w:t>
      </w:r>
    </w:p>
    <w:bookmarkEnd w:id="21"/>
    <w:bookmarkStart w:id="22" w:name="scope-and-methodology"/>
    <w:p>
      <w:pPr>
        <w:pStyle w:val="Heading2"/>
      </w:pPr>
      <w:r>
        <w:t xml:space="preserve">2. Scope and Methodology</w:t>
      </w:r>
    </w:p>
    <w:p>
      <w:pPr>
        <w:pStyle w:val="FirstParagraph"/>
      </w:pPr>
      <w:r>
        <w:t xml:space="preserve">The scope of this Peer Review Report encompasses the evaluation of the Auditor’s work on a sample of financial statement audits and reviews performed for entities based in Los Angeles. The methodology employed aligns with the standards set forth by the AICPA Peer Review Program.</w:t>
      </w:r>
    </w:p>
    <w:p>
      <w:pPr>
        <w:pStyle w:val="BodyText"/>
      </w:pPr>
      <w:r>
        <w:t xml:space="preserve">The review team selected a representative sample of audit engagements, focusing on industries prevalent in the Los Angeles market, including entertainment, real estate, and technology. The evaluation criteria included:</w:t>
      </w:r>
    </w:p>
    <w:p>
      <w:pPr>
        <w:numPr>
          <w:ilvl w:val="0"/>
          <w:numId w:val="1001"/>
        </w:numPr>
        <w:pStyle w:val="Compact"/>
      </w:pPr>
      <w:r>
        <w:t xml:space="preserve">Compliance with GAAS and relevant SEC regulations where applicable.</w:t>
      </w:r>
    </w:p>
    <w:p>
      <w:pPr>
        <w:numPr>
          <w:ilvl w:val="0"/>
          <w:numId w:val="1001"/>
        </w:numPr>
        <w:pStyle w:val="Compact"/>
      </w:pPr>
      <w:r>
        <w:t xml:space="preserve">Adherence to the Code of Professional Conduct.</w:t>
      </w:r>
    </w:p>
    <w:p>
      <w:pPr>
        <w:numPr>
          <w:ilvl w:val="0"/>
          <w:numId w:val="1001"/>
        </w:numPr>
        <w:pStyle w:val="Compact"/>
      </w:pPr>
      <w:r>
        <w:t xml:space="preserve">Adequacy of audit evidence and documentation.</w:t>
      </w:r>
    </w:p>
    <w:p>
      <w:pPr>
        <w:numPr>
          <w:ilvl w:val="0"/>
          <w:numId w:val="1001"/>
        </w:numPr>
        <w:pStyle w:val="Compact"/>
      </w:pPr>
      <w:r>
        <w:t xml:space="preserve">Quality of risk assessment procedures specific to the Los Angeles economic environment.</w:t>
      </w:r>
    </w:p>
    <w:p>
      <w:pPr>
        <w:numPr>
          <w:ilvl w:val="0"/>
          <w:numId w:val="1001"/>
        </w:numPr>
        <w:pStyle w:val="Compact"/>
      </w:pPr>
      <w:r>
        <w:t xml:space="preserve">Effectiveness of internal quality control systems.</w:t>
      </w:r>
    </w:p>
    <w:bookmarkEnd w:id="22"/>
    <w:bookmarkStart w:id="27" w:name="detailed-findings"/>
    <w:p>
      <w:pPr>
        <w:pStyle w:val="Heading2"/>
      </w:pPr>
      <w:r>
        <w:t xml:space="preserve">3. Detailed Findings</w:t>
      </w:r>
    </w:p>
    <w:bookmarkStart w:id="23" w:name="professional-standards-and-compliance"/>
    <w:p>
      <w:pPr>
        <w:pStyle w:val="Heading3"/>
      </w:pPr>
      <w:r>
        <w:t xml:space="preserve">3.1 Professional Standards and Compliance</w:t>
      </w:r>
    </w:p>
    <w:p>
      <w:pPr>
        <w:pStyle w:val="FirstParagraph"/>
      </w:pPr>
      <w:r>
        <w:t xml:space="preserve">The Auditor demonstrated a strong understanding of the United States Generally Accepted Accounting Principles (GAAP) and auditing standards. In the context of Los Angeles, where business entities often face complex regulatory environments, the Auditor successfully navigated requirements related to California corporate law and local tax obligations. The review found no significant departures from the AICPA Code of Professional Conduct. The Auditor maintained appropriate independence and objectivity throughout the engagements reviewed.</w:t>
      </w:r>
    </w:p>
    <w:bookmarkEnd w:id="23"/>
    <w:bookmarkStart w:id="24" w:name="risk-assessment-and-planning"/>
    <w:p>
      <w:pPr>
        <w:pStyle w:val="Heading3"/>
      </w:pPr>
      <w:r>
        <w:t xml:space="preserve">3.2 Risk Assessment and Planning</w:t>
      </w:r>
    </w:p>
    <w:p>
      <w:pPr>
        <w:pStyle w:val="FirstParagraph"/>
      </w:pPr>
      <w:r>
        <w:t xml:space="preserve">Audit planning documents indicated a robust risk assessment process. The Auditor appropriately identified risks related to revenue recognition, a critical area for many Los Angeles-based entertainment and media companies. The evaluation of internal controls was thorough, and the Auditor effectively tailored the audit approach to address identified risks. However, it was observed that in two instances, the documentation regarding the assessment of fraud risk factors could have been more detailed, particularly concerning related-party transactions common in the local real estate sector.</w:t>
      </w:r>
    </w:p>
    <w:bookmarkEnd w:id="24"/>
    <w:bookmarkStart w:id="25" w:name="evidence-and-documentation"/>
    <w:p>
      <w:pPr>
        <w:pStyle w:val="Heading3"/>
      </w:pPr>
      <w:r>
        <w:t xml:space="preserve">3.3 Evidence and Documentation</w:t>
      </w:r>
    </w:p>
    <w:p>
      <w:pPr>
        <w:pStyle w:val="FirstParagraph"/>
      </w:pPr>
      <w:r>
        <w:t xml:space="preserve">The quality of audit evidence obtained was generally sufficient and appropriate. Working papers were organized logically and supported the conclusions reached in the audit reports. The Auditor effectively utilized analytical procedures and substantive testing. Nevertheless, the review noted some inconsistencies in the cross-referencing of working papers, which could hinder the efficiency of future reviews or regulatory inspections by the California Board of Accountancy.</w:t>
      </w:r>
    </w:p>
    <w:bookmarkEnd w:id="25"/>
    <w:bookmarkStart w:id="26" w:name="reporting-and-communication"/>
    <w:p>
      <w:pPr>
        <w:pStyle w:val="Heading3"/>
      </w:pPr>
      <w:r>
        <w:t xml:space="preserve">3.4 Reporting and Communication</w:t>
      </w:r>
    </w:p>
    <w:p>
      <w:pPr>
        <w:pStyle w:val="FirstParagraph"/>
      </w:pPr>
      <w:r>
        <w:t xml:space="preserve">Audit reports were clear, concise, and compliant with the required formats. The Auditor effectively communicated significant findings to management and those charged with governance. In the context of Los Angeles, where stakeholders may include diverse international investors, the Auditor’s ability to present complex financial information clearly was commendable. However, the timeliness of issuing management letters could be improved to provide more actionable insights to clients earlier in the process.</w:t>
      </w:r>
    </w:p>
    <w:bookmarkEnd w:id="26"/>
    <w:bookmarkEnd w:id="27"/>
    <w:bookmarkStart w:id="28" w:name="observations-and-recommendations"/>
    <w:p>
      <w:pPr>
        <w:pStyle w:val="Heading2"/>
      </w:pPr>
      <w:r>
        <w:t xml:space="preserve">4. Observations and Recommendations</w:t>
      </w:r>
    </w:p>
    <w:p>
      <w:pPr>
        <w:pStyle w:val="FirstParagraph"/>
      </w:pPr>
      <w:r>
        <w:t xml:space="preserve">Based on the findings of this Peer Review Report, the following recommendations are made to enhance the Auditor’s performance and ensure continued compliance with standards in the United States and specifically within Los Angeles:</w:t>
      </w:r>
    </w:p>
    <w:p>
      <w:pPr>
        <w:numPr>
          <w:ilvl w:val="0"/>
          <w:numId w:val="1002"/>
        </w:numPr>
        <w:pStyle w:val="Compact"/>
      </w:pPr>
      <w:r>
        <w:rPr>
          <w:bCs/>
          <w:b/>
        </w:rPr>
        <w:t xml:space="preserve">Enhance Fraud Risk Documentation:</w:t>
      </w:r>
      <w:r>
        <w:t xml:space="preserve"> </w:t>
      </w:r>
      <w:r>
        <w:t xml:space="preserve">The Auditor should expand the documentation of fraud risk assessments, particularly for engagements involving high-risk industries prevalent in Los Angeles, such as entertainment and real estate. This will provide a clearer audit trail and demonstrate rigorous adherence to GAAS.</w:t>
      </w:r>
    </w:p>
    <w:p>
      <w:pPr>
        <w:numPr>
          <w:ilvl w:val="0"/>
          <w:numId w:val="1002"/>
        </w:numPr>
        <w:pStyle w:val="Compact"/>
      </w:pPr>
      <w:r>
        <w:rPr>
          <w:bCs/>
          <w:b/>
        </w:rPr>
        <w:t xml:space="preserve">Improve Working Paper Cross-Referencing:</w:t>
      </w:r>
      <w:r>
        <w:t xml:space="preserve"> </w:t>
      </w:r>
      <w:r>
        <w:t xml:space="preserve">Implement a standardized system for cross-referencing working papers to improve the clarity and navigability of audit files. This will facilitate more efficient internal reviews and external inspections.</w:t>
      </w:r>
    </w:p>
    <w:p>
      <w:pPr>
        <w:numPr>
          <w:ilvl w:val="0"/>
          <w:numId w:val="1002"/>
        </w:numPr>
        <w:pStyle w:val="Compact"/>
      </w:pPr>
      <w:r>
        <w:rPr>
          <w:bCs/>
          <w:b/>
        </w:rPr>
        <w:t xml:space="preserve">Accelerate Management Letter Issuance:</w:t>
      </w:r>
      <w:r>
        <w:t xml:space="preserve"> </w:t>
      </w:r>
      <w:r>
        <w:t xml:space="preserve">Establish stricter internal deadlines for the issuance of management letters to ensure clients receive timely feedback on internal control deficiencies and operational improvements.</w:t>
      </w:r>
    </w:p>
    <w:p>
      <w:pPr>
        <w:numPr>
          <w:ilvl w:val="0"/>
          <w:numId w:val="1002"/>
        </w:numPr>
        <w:pStyle w:val="Compact"/>
      </w:pPr>
      <w:r>
        <w:rPr>
          <w:bCs/>
          <w:b/>
        </w:rPr>
        <w:t xml:space="preserve">Continuing Professional Education:</w:t>
      </w:r>
      <w:r>
        <w:t xml:space="preserve"> </w:t>
      </w:r>
      <w:r>
        <w:t xml:space="preserve">The Auditor should engage in continuing professional education focused on emerging regulatory changes in California and Los Angeles, particularly those affecting tax compliance and corporate governance.</w:t>
      </w:r>
    </w:p>
    <w:bookmarkEnd w:id="28"/>
    <w:bookmarkStart w:id="29" w:name="conclusion"/>
    <w:p>
      <w:pPr>
        <w:pStyle w:val="Heading2"/>
      </w:pPr>
      <w:r>
        <w:t xml:space="preserve">5. Conclusion</w:t>
      </w:r>
    </w:p>
    <w:p>
      <w:pPr>
        <w:pStyle w:val="FirstParagraph"/>
      </w:pPr>
      <w:r>
        <w:t xml:space="preserve">In conclusion, this Peer Review Report affirms that the Auditor operates at a high level of professional competence and integrity. The Auditor’s work is generally in compliance with the standards of the AICPA and the regulatory requirements of the United States and the state of California. The identified areas for improvement are minor and do not detract from the overall quality of the audit services provided. By implementing the recommendations outlined in this report, the Auditor can further enhance the quality of their work and maintain their standing as a trusted professional in the Los Angeles market.</w:t>
      </w:r>
    </w:p>
    <w:p>
      <w:pPr>
        <w:pStyle w:val="BodyText"/>
      </w:pPr>
      <w:r>
        <w:t xml:space="preserve">This report is intended solely for the use of the Auditor and the relevant regulatory bodies in Los Angeles, United States, and should not be distributed to third parties without prior authorization.</w:t>
      </w:r>
    </w:p>
    <w:bookmarkEnd w:id="29"/>
    <w:p>
      <w:pPr>
        <w:pStyle w:val="BodyText"/>
      </w:pPr>
      <w:r>
        <w:rPr>
          <w:bCs/>
          <w:b/>
        </w:rPr>
        <w:t xml:space="preserve">Prepared by:</w:t>
      </w:r>
    </w:p>
    <w:p>
      <w:pPr>
        <w:pStyle w:val="BodyText"/>
      </w:pPr>
      <w:r>
        <w:t xml:space="preserve">__________________________</w:t>
      </w:r>
    </w:p>
    <w:p>
      <w:pPr>
        <w:pStyle w:val="BodyText"/>
      </w:pPr>
      <w:r>
        <w:t xml:space="preserve">Senior Peer Reviewer</w:t>
      </w:r>
    </w:p>
    <w:p>
      <w:pPr>
        <w:pStyle w:val="BodyText"/>
      </w:pPr>
      <w:r>
        <w:t xml:space="preserve">Los Angeles, California</w:t>
      </w:r>
    </w:p>
    <w:p>
      <w:pPr>
        <w:pStyle w:val="BodyText"/>
      </w:pPr>
      <w: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Evaluation - Los Angeles, United States</dc:title>
  <dc:creator/>
  <dc:language>en</dc:language>
  <cp:keywords/>
  <dcterms:created xsi:type="dcterms:W3CDTF">2026-10-10T08:15:01Z</dcterms:created>
  <dcterms:modified xsi:type="dcterms:W3CDTF">2026-10-10T08:15:01Z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