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Evaluation</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Auditor Performance and Compliance</w:t>
      </w:r>
    </w:p>
    <w:p>
      <w:pPr>
        <w:pStyle w:val="BodyText"/>
      </w:pPr>
      <w:r>
        <w:rPr>
          <w:bCs/>
          <w:b/>
        </w:rPr>
        <w:t xml:space="preserve">Location:</w:t>
      </w:r>
      <w:r>
        <w:t xml:space="preserve"> </w:t>
      </w:r>
      <w:r>
        <w:t xml:space="preserve">Miami, United States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compliance, and professional conduct of an Auditor operating within the jurisdiction of Miami, United States. The purpose of this review is to ensure that the Auditor adheres to the highest standards of auditing practices, regulatory requirements, and ethical guidelines as mandated by the American Institute of Certified Public Accountants (AICPA) and the Public Company Accounting Oversight Board (PCAOB). This document serves as a formal assessment of the Auditor's capabilities, methodologies, and overall contribution to maintaining financial integrity within the region.</w:t>
      </w:r>
    </w:p>
    <w:bookmarkEnd w:id="21"/>
    <w:bookmarkStart w:id="22" w:name="scope-of-the-review"/>
    <w:p>
      <w:pPr>
        <w:pStyle w:val="Heading2"/>
      </w:pPr>
      <w:r>
        <w:t xml:space="preserve">2. Scope of the Review</w:t>
      </w:r>
    </w:p>
    <w:p>
      <w:pPr>
        <w:pStyle w:val="FirstParagraph"/>
      </w:pPr>
      <w:r>
        <w:t xml:space="preserve">The scope of this Peer Review encompasses a comprehensive analysis of the Auditor's work over the past fiscal year. The review focuses on several key areas, including but not limited to:</w:t>
      </w:r>
    </w:p>
    <w:p>
      <w:pPr>
        <w:numPr>
          <w:ilvl w:val="0"/>
          <w:numId w:val="1001"/>
        </w:numPr>
        <w:pStyle w:val="Compact"/>
      </w:pPr>
      <w:r>
        <w:t xml:space="preserve">Compliance with Generally Accepted Auditing Standards (GAAS) and other relevant regulatory frameworks.</w:t>
      </w:r>
    </w:p>
    <w:p>
      <w:pPr>
        <w:numPr>
          <w:ilvl w:val="0"/>
          <w:numId w:val="1001"/>
        </w:numPr>
        <w:pStyle w:val="Compact"/>
      </w:pPr>
      <w:r>
        <w:t xml:space="preserve">Quality of audit documentation and reporting.</w:t>
      </w:r>
    </w:p>
    <w:p>
      <w:pPr>
        <w:numPr>
          <w:ilvl w:val="0"/>
          <w:numId w:val="1001"/>
        </w:numPr>
        <w:pStyle w:val="Compact"/>
      </w:pPr>
      <w:r>
        <w:t xml:space="preserve">Adherence to ethical standards and independence requirements.</w:t>
      </w:r>
    </w:p>
    <w:p>
      <w:pPr>
        <w:numPr>
          <w:ilvl w:val="0"/>
          <w:numId w:val="1001"/>
        </w:numPr>
        <w:pStyle w:val="Compact"/>
      </w:pPr>
      <w:r>
        <w:t xml:space="preserve">Effectiveness of risk assessment and internal control evaluations.</w:t>
      </w:r>
    </w:p>
    <w:p>
      <w:pPr>
        <w:numPr>
          <w:ilvl w:val="0"/>
          <w:numId w:val="1001"/>
        </w:numPr>
        <w:pStyle w:val="Compact"/>
      </w:pPr>
      <w:r>
        <w:t xml:space="preserve">Client satisfaction and professional communication.</w:t>
      </w:r>
    </w:p>
    <w:p>
      <w:pPr>
        <w:pStyle w:val="FirstParagraph"/>
      </w:pPr>
      <w:r>
        <w:t xml:space="preserve">The review was conducted in accordance with the standards set forth by the AICPA Peer Review Program, ensuring a thorough and unbiased evaluation of the Auditor's practices in Miami, United States.</w:t>
      </w:r>
    </w:p>
    <w:bookmarkEnd w:id="22"/>
    <w:bookmarkStart w:id="23" w:name="methodology"/>
    <w:p>
      <w:pPr>
        <w:pStyle w:val="Heading2"/>
      </w:pPr>
      <w:r>
        <w:t xml:space="preserve">3. Methodology</w:t>
      </w:r>
    </w:p>
    <w:p>
      <w:pPr>
        <w:pStyle w:val="FirstParagraph"/>
      </w:pPr>
      <w:r>
        <w:t xml:space="preserve">The Peer Review was conducted using a combination of qualitative and quantitative methods. The review team examined a sample of audit engagements performed by the Auditor, focusing on both public and private sector clients. The methodology included:</w:t>
      </w:r>
    </w:p>
    <w:p>
      <w:pPr>
        <w:numPr>
          <w:ilvl w:val="0"/>
          <w:numId w:val="1002"/>
        </w:numPr>
        <w:pStyle w:val="Compact"/>
      </w:pPr>
      <w:r>
        <w:t xml:space="preserve">Review of audit workpapers and supporting documentation.</w:t>
      </w:r>
    </w:p>
    <w:p>
      <w:pPr>
        <w:numPr>
          <w:ilvl w:val="0"/>
          <w:numId w:val="1002"/>
        </w:numPr>
        <w:pStyle w:val="Compact"/>
      </w:pPr>
      <w:r>
        <w:t xml:space="preserve">Interviews with the Auditor and relevant staff members.</w:t>
      </w:r>
    </w:p>
    <w:p>
      <w:pPr>
        <w:numPr>
          <w:ilvl w:val="0"/>
          <w:numId w:val="1002"/>
        </w:numPr>
        <w:pStyle w:val="Compact"/>
      </w:pPr>
      <w:r>
        <w:t xml:space="preserve">Assessment of the Auditor's quality control policies and procedures.</w:t>
      </w:r>
    </w:p>
    <w:p>
      <w:pPr>
        <w:numPr>
          <w:ilvl w:val="0"/>
          <w:numId w:val="1002"/>
        </w:numPr>
        <w:pStyle w:val="Compact"/>
      </w:pPr>
      <w:r>
        <w:t xml:space="preserve">Evaluation of the Auditor's compliance with continuing professional education (CPE) requirements.</w:t>
      </w:r>
    </w:p>
    <w:p>
      <w:pPr>
        <w:numPr>
          <w:ilvl w:val="0"/>
          <w:numId w:val="1002"/>
        </w:numPr>
        <w:pStyle w:val="Compact"/>
      </w:pPr>
      <w:r>
        <w:t xml:space="preserve">Analysis of client feedback and satisfaction surveys.</w:t>
      </w:r>
    </w:p>
    <w:p>
      <w:pPr>
        <w:pStyle w:val="FirstParagraph"/>
      </w:pPr>
      <w:r>
        <w:t xml:space="preserve">This multi-faceted approach ensures a holistic understanding of the Auditor's performance and adherence to professional standards in Miami, United States.</w:t>
      </w:r>
    </w:p>
    <w:bookmarkEnd w:id="23"/>
    <w:bookmarkStart w:id="29" w:name="findings"/>
    <w:p>
      <w:pPr>
        <w:pStyle w:val="Heading2"/>
      </w:pPr>
      <w:r>
        <w:t xml:space="preserve">4. Findings</w:t>
      </w:r>
    </w:p>
    <w:bookmarkStart w:id="24" w:name="compliance-with-standards"/>
    <w:p>
      <w:pPr>
        <w:pStyle w:val="Heading3"/>
      </w:pPr>
      <w:r>
        <w:t xml:space="preserve">4.1 Compliance with Standards</w:t>
      </w:r>
    </w:p>
    <w:p>
      <w:pPr>
        <w:pStyle w:val="FirstParagraph"/>
      </w:pPr>
      <w:r>
        <w:t xml:space="preserve">The Auditor has demonstrated a strong commitment to compliance with GAAS and other applicable standards. The review found that the Auditor consistently applies appropriate auditing procedures and maintains thorough documentation. However, there were minor instances where additional clarification was needed in the workpapers, particularly in complex financial transactions.</w:t>
      </w:r>
    </w:p>
    <w:bookmarkEnd w:id="24"/>
    <w:bookmarkStart w:id="25" w:name="quality-of-documentation-and-reporting"/>
    <w:p>
      <w:pPr>
        <w:pStyle w:val="Heading3"/>
      </w:pPr>
      <w:r>
        <w:t xml:space="preserve">4.2 Quality of Documentation and Reporting</w:t>
      </w:r>
    </w:p>
    <w:p>
      <w:pPr>
        <w:pStyle w:val="FirstParagraph"/>
      </w:pPr>
      <w:r>
        <w:t xml:space="preserve">The quality of audit documentation and reporting was generally high. The Auditor's reports were clear, concise, and provided valuable insights to clients. However, the review identified areas for improvement in the consistency of formatting and the inclusion of detailed risk assessments in certain engagements.</w:t>
      </w:r>
    </w:p>
    <w:bookmarkEnd w:id="25"/>
    <w:bookmarkStart w:id="26" w:name="ethical-standards-and-independence"/>
    <w:p>
      <w:pPr>
        <w:pStyle w:val="Heading3"/>
      </w:pPr>
      <w:r>
        <w:t xml:space="preserve">4.3 Ethical Standards and Independence</w:t>
      </w:r>
    </w:p>
    <w:p>
      <w:pPr>
        <w:pStyle w:val="FirstParagraph"/>
      </w:pPr>
      <w:r>
        <w:t xml:space="preserve">The Auditor has maintained a high level of ethical conduct and independence throughout the review period. There were no instances of conflicts of interest or breaches of confidentiality. The Auditor's adherence to the AICPA Code of Professional Conduct was exemplary.</w:t>
      </w:r>
    </w:p>
    <w:bookmarkEnd w:id="26"/>
    <w:bookmarkStart w:id="27" w:name="risk-assessment-and-internal-controls"/>
    <w:p>
      <w:pPr>
        <w:pStyle w:val="Heading3"/>
      </w:pPr>
      <w:r>
        <w:t xml:space="preserve">4.4 Risk Assessment and Internal Controls</w:t>
      </w:r>
    </w:p>
    <w:p>
      <w:pPr>
        <w:pStyle w:val="FirstParagraph"/>
      </w:pPr>
      <w:r>
        <w:t xml:space="preserve">The Auditor's approach to risk assessment and internal control evaluations was robust. The review found that the Auditor effectively identified and addressed key risks in the engagements reviewed. However, there is room for enhancement in the use of advanced analytical tools to further strengthen risk assessments.</w:t>
      </w:r>
    </w:p>
    <w:bookmarkEnd w:id="27"/>
    <w:bookmarkStart w:id="28" w:name="client-satisfaction-and-communication"/>
    <w:p>
      <w:pPr>
        <w:pStyle w:val="Heading3"/>
      </w:pPr>
      <w:r>
        <w:t xml:space="preserve">4.5 Client Satisfaction and Communication</w:t>
      </w:r>
    </w:p>
    <w:p>
      <w:pPr>
        <w:pStyle w:val="FirstParagraph"/>
      </w:pPr>
      <w:r>
        <w:t xml:space="preserve">Client feedback was overwhelmingly positive, with clients praising the Auditor's professionalism, responsiveness, and expertise. The Auditor's communication skills were noted as a significant strength, contributing to strong client relationships in Miami, United States.</w:t>
      </w:r>
    </w:p>
    <w:bookmarkEnd w:id="28"/>
    <w:bookmarkEnd w:id="29"/>
    <w:bookmarkStart w:id="30" w:name="recommendations"/>
    <w:p>
      <w:pPr>
        <w:pStyle w:val="Heading2"/>
      </w:pPr>
      <w:r>
        <w:t xml:space="preserve">5. Recommendations</w:t>
      </w:r>
    </w:p>
    <w:p>
      <w:pPr>
        <w:pStyle w:val="FirstParagraph"/>
      </w:pPr>
      <w:r>
        <w:t xml:space="preserve">Based on the findings of this Peer Review, the following recommendations are made to enhance the Auditor's performance and ensure continued compliance with professional standards:</w:t>
      </w:r>
    </w:p>
    <w:p>
      <w:pPr>
        <w:numPr>
          <w:ilvl w:val="0"/>
          <w:numId w:val="1003"/>
        </w:numPr>
        <w:pStyle w:val="Compact"/>
      </w:pPr>
      <w:r>
        <w:t xml:space="preserve">Provide additional training on advanced analytical tools to improve risk assessment capabilities.</w:t>
      </w:r>
    </w:p>
    <w:p>
      <w:pPr>
        <w:numPr>
          <w:ilvl w:val="0"/>
          <w:numId w:val="1003"/>
        </w:numPr>
        <w:pStyle w:val="Compact"/>
      </w:pPr>
      <w:r>
        <w:t xml:space="preserve">Standardize the formatting and content of audit reports to ensure consistency across all engagements.</w:t>
      </w:r>
    </w:p>
    <w:p>
      <w:pPr>
        <w:numPr>
          <w:ilvl w:val="0"/>
          <w:numId w:val="1003"/>
        </w:numPr>
        <w:pStyle w:val="Compact"/>
      </w:pPr>
      <w:r>
        <w:t xml:space="preserve">Enhance the detail and clarity of workpapers, particularly for complex transactions.</w:t>
      </w:r>
    </w:p>
    <w:p>
      <w:pPr>
        <w:numPr>
          <w:ilvl w:val="0"/>
          <w:numId w:val="1003"/>
        </w:numPr>
        <w:pStyle w:val="Compact"/>
      </w:pPr>
      <w:r>
        <w:t xml:space="preserve">Continue to prioritize ethical conduct and independence, maintaining the high standards observed during the review.</w:t>
      </w:r>
    </w:p>
    <w:bookmarkEnd w:id="30"/>
    <w:bookmarkStart w:id="31" w:name="conclusion"/>
    <w:p>
      <w:pPr>
        <w:pStyle w:val="Heading2"/>
      </w:pPr>
      <w:r>
        <w:t xml:space="preserve">6. Conclusion</w:t>
      </w:r>
    </w:p>
    <w:p>
      <w:pPr>
        <w:pStyle w:val="FirstParagraph"/>
      </w:pPr>
      <w:r>
        <w:t xml:space="preserve">In conclusion, this Peer Review Report affirms that the Auditor operating in Miami, United States, has demonstrated a high level of professionalism, competence, and compliance with auditing standards. While there are areas for improvement, the Auditor's overall performance is commendable. The recommendations provided in this report are intended to support the Auditor's ongoing development and ensure the continued delivery of high-quality audit services.</w:t>
      </w:r>
    </w:p>
    <w:bookmarkEnd w:id="31"/>
    <w:p>
      <w:pPr>
        <w:pStyle w:val="BodyText"/>
      </w:pPr>
      <w:r>
        <w:rPr>
          <w:bCs/>
          <w:b/>
        </w:rPr>
        <w:t xml:space="preserve">Prepared By:</w:t>
      </w:r>
    </w:p>
    <w:p>
      <w:pPr>
        <w:pStyle w:val="BodyText"/>
      </w:pPr>
      <w:r>
        <w:t xml:space="preserve">Senior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Evaluation - Miami, United States</dc:title>
  <dc:creator/>
  <dc:language>en</dc:language>
  <cp:keywords/>
  <dcterms:created xsi:type="dcterms:W3CDTF">2026-10-10T09:42:42Z</dcterms:created>
  <dcterms:modified xsi:type="dcterms:W3CDTF">2026-10-10T09:42:42Z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