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Independent</w:t>
      </w:r>
      <w:r>
        <w:t xml:space="preserve"> </w:t>
      </w:r>
      <w:r>
        <w:t xml:space="preserve">Auditor</w:t>
      </w:r>
      <w:r>
        <w:t xml:space="preserve"> </w:t>
      </w:r>
      <w:r>
        <w:t xml:space="preserve">Evaluation</w:t>
      </w:r>
    </w:p>
    <w:bookmarkStart w:id="27" w:name="peer-review-report"/>
    <w:p>
      <w:pPr>
        <w:pStyle w:val="Heading1"/>
      </w:pPr>
      <w:r>
        <w:t xml:space="preserve">Peer Review Report</w:t>
      </w:r>
    </w:p>
    <w:p>
      <w:pPr>
        <w:pStyle w:val="FirstParagraph"/>
      </w:pPr>
      <w:r>
        <w:t xml:space="preserve">Evaluation of Independent Auditor Performance and Compliance</w:t>
      </w:r>
    </w:p>
    <w:p>
      <w:pPr>
        <w:pStyle w:val="BodyText"/>
      </w:pPr>
      <w:r>
        <w:rPr>
          <w:bCs/>
          <w:b/>
        </w:rPr>
        <w:t xml:space="preserve">Date of Report:</w:t>
      </w:r>
      <w:r>
        <w:t xml:space="preserve"> </w:t>
      </w:r>
      <w:r>
        <w:t xml:space="preserve">October 24, 2023</w:t>
      </w:r>
      <w:r>
        <w:br/>
      </w:r>
      <w:r>
        <w:rPr>
          <w:bCs/>
          <w:b/>
        </w:rPr>
        <w:t xml:space="preserve">Review Period:</w:t>
      </w:r>
      <w:r>
        <w:t xml:space="preserve"> </w:t>
      </w:r>
      <w:r>
        <w:t xml:space="preserve">January 1, 2023 – September 30, 2023</w:t>
      </w:r>
    </w:p>
    <w:p>
      <w:pPr>
        <w:pStyle w:val="BodyText"/>
      </w:pPr>
      <w:r>
        <w:rPr>
          <w:bCs/>
          <w:b/>
        </w:rPr>
        <w:t xml:space="preserve">Location:</w:t>
      </w:r>
      <w:r>
        <w:t xml:space="preserve"> </w:t>
      </w:r>
      <w:r>
        <w:t xml:space="preserve">United States New York City</w:t>
      </w:r>
      <w:r>
        <w:br/>
      </w:r>
      <w:r>
        <w:rPr>
          <w:bCs/>
          <w:b/>
        </w:rPr>
        <w:t xml:space="preserve">Regulatory Framework:</w:t>
      </w:r>
      <w:r>
        <w:t xml:space="preserve"> </w:t>
      </w:r>
      <w:r>
        <w:t xml:space="preserve">NY State Education Law, PCAOB Standards</w:t>
      </w:r>
    </w:p>
    <w:bookmarkStart w:id="20" w:name="subject-of-review"/>
    <w:p>
      <w:pPr>
        <w:pStyle w:val="Heading3"/>
      </w:pPr>
      <w:r>
        <w:t xml:space="preserve">Subject of Review</w:t>
      </w:r>
    </w:p>
    <w:p>
      <w:pPr>
        <w:pStyle w:val="FirstParagraph"/>
      </w:pPr>
      <w:r>
        <w:rPr>
          <w:bCs/>
          <w:b/>
        </w:rPr>
        <w:t xml:space="preserve">Auditor Name:</w:t>
      </w:r>
      <w:r>
        <w:t xml:space="preserve"> </w:t>
      </w:r>
      <w:r>
        <w:t xml:space="preserve">[Name of Auditor or Firm]</w:t>
      </w:r>
      <w:r>
        <w:br/>
      </w:r>
      <w:r>
        <w:rPr>
          <w:bCs/>
          <w:b/>
        </w:rPr>
        <w:t xml:space="preserve">License Number:</w:t>
      </w:r>
      <w:r>
        <w:t xml:space="preserve"> </w:t>
      </w:r>
      <w:r>
        <w:t xml:space="preserve">[License Number]</w:t>
      </w:r>
      <w:r>
        <w:br/>
      </w:r>
      <w:r>
        <w:rPr>
          <w:bCs/>
          <w:b/>
        </w:rPr>
        <w:t xml:space="preserve">Office Address:</w:t>
      </w:r>
      <w:r>
        <w:t xml:space="preserve"> </w:t>
      </w:r>
      <w:r>
        <w:t xml:space="preserve">[Address], United States New York City</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professional services rendered by the designated Auditor operating within the jurisdiction of the United States New York City. The primary objective of this review is to assess the Auditor's adherence to professional standards, ethical guidelines, and regulatory requirements mandated by the New York State Board for Public Accountancy and, where applicable, the Public Company Accounting Oversight Board (PCAOB).</w:t>
      </w:r>
    </w:p>
    <w:p>
      <w:pPr>
        <w:pStyle w:val="BodyText"/>
      </w:pPr>
      <w:r>
        <w:t xml:space="preserve">Given the complex financial landscape of the United States New York City, this review focuses heavily on the Auditor's ability to navigate local municipal regulations, state tax laws, and federal securities regulations. The scope of this Peer Review Report encompasses a detailed analysis of selected audit engagements, quality control systems, and the Auditor's independence and objectivity.</w:t>
      </w:r>
    </w:p>
    <w:bookmarkEnd w:id="21"/>
    <w:bookmarkStart w:id="22" w:name="regulatory-compliance-and-standards"/>
    <w:p>
      <w:pPr>
        <w:pStyle w:val="Heading2"/>
      </w:pPr>
      <w:r>
        <w:t xml:space="preserve">2. Regulatory Compliance and Standards</w:t>
      </w:r>
    </w:p>
    <w:p>
      <w:pPr>
        <w:pStyle w:val="FirstParagraph"/>
      </w:pPr>
      <w:r>
        <w:t xml:space="preserve">The Auditor is required to maintain strict compliance with the Generally Accepted Auditing Standards (GAAS) and the specific statutes governing the practice of public accounting in New York. This section of the Peer Review Report evaluates the Auditor's compliance with these frameworks.</w:t>
      </w:r>
    </w:p>
    <w:p>
      <w:pPr>
        <w:pStyle w:val="BodyText"/>
      </w:pPr>
      <w:r>
        <w:t xml:space="preserve">Our review confirms that the Auditor has maintained an active license in good standing with the New York State Education Department. Furthermore, the Auditor demonstrates a robust understanding of the unique regulatory environment in the United States New York City. This includes compliance with local disclosure requirements for financial institutions and adherence to the New York State Tax Law regarding audit documentation. The Auditor's engagement letters were reviewed and found to be consistent with the standards set forth by the American Institute of Certified Public Accountants (AICPA).</w:t>
      </w:r>
    </w:p>
    <w:bookmarkEnd w:id="22"/>
    <w:bookmarkStart w:id="23" w:name="quality-control-and-methodology"/>
    <w:p>
      <w:pPr>
        <w:pStyle w:val="Heading2"/>
      </w:pPr>
      <w:r>
        <w:t xml:space="preserve">3. Quality Control and Methodology</w:t>
      </w:r>
    </w:p>
    <w:p>
      <w:pPr>
        <w:pStyle w:val="FirstParagraph"/>
      </w:pPr>
      <w:r>
        <w:t xml:space="preserve">A critical component of this Peer Review Report is the assessment of the Auditor's quality control policies. In a high-stakes environment like the United States New York City, the margin for error is minimal. The Auditor has implemented a comprehensive quality control system that includes:</w:t>
      </w:r>
    </w:p>
    <w:p>
      <w:pPr>
        <w:numPr>
          <w:ilvl w:val="0"/>
          <w:numId w:val="1001"/>
        </w:numPr>
        <w:pStyle w:val="Compact"/>
      </w:pPr>
      <w:r>
        <w:rPr>
          <w:bCs/>
          <w:b/>
        </w:rPr>
        <w:t xml:space="preserve">Engagement Acceptance:</w:t>
      </w:r>
      <w:r>
        <w:t xml:space="preserve"> </w:t>
      </w:r>
      <w:r>
        <w:t xml:space="preserve">Rigorous procedures to evaluate client integrity and the Auditor's ability to perform the engagement competently.</w:t>
      </w:r>
    </w:p>
    <w:p>
      <w:pPr>
        <w:numPr>
          <w:ilvl w:val="0"/>
          <w:numId w:val="1001"/>
        </w:numPr>
        <w:pStyle w:val="Compact"/>
      </w:pPr>
      <w:r>
        <w:rPr>
          <w:bCs/>
          <w:b/>
        </w:rPr>
        <w:t xml:space="preserve">Supervision:</w:t>
      </w:r>
      <w:r>
        <w:t xml:space="preserve"> </w:t>
      </w:r>
      <w:r>
        <w:t xml:space="preserve">Clear hierarchies ensuring that senior staff review the work of junior auditors, ensuring consistency and accuracy.</w:t>
      </w:r>
    </w:p>
    <w:p>
      <w:pPr>
        <w:numPr>
          <w:ilvl w:val="0"/>
          <w:numId w:val="1001"/>
        </w:numPr>
        <w:pStyle w:val="Compact"/>
      </w:pPr>
      <w:r>
        <w:rPr>
          <w:bCs/>
          <w:b/>
        </w:rPr>
        <w:t xml:space="preserve">Documentation:</w:t>
      </w:r>
      <w:r>
        <w:t xml:space="preserve"> </w:t>
      </w:r>
      <w:r>
        <w:t xml:space="preserve">Audit files are maintained in a manner that provides sufficient evidence to support the opinions expressed, complying with retention laws in New York.</w:t>
      </w:r>
    </w:p>
    <w:p>
      <w:pPr>
        <w:pStyle w:val="FirstParagraph"/>
      </w:pPr>
      <w:r>
        <w:t xml:space="preserve">The methodology employed by the Auditor reflects a risk-based approach, which is essential when auditing entities operating in the diverse economic sectors of the United States New York City. The Auditor effectively identifies areas of high risk, such as revenue recognition in financial services and real estate valuation, and applies appropriate substantive testing procedures.</w:t>
      </w:r>
    </w:p>
    <w:bookmarkEnd w:id="23"/>
    <w:bookmarkStart w:id="24" w:name="independence-and-ethics"/>
    <w:p>
      <w:pPr>
        <w:pStyle w:val="Heading2"/>
      </w:pPr>
      <w:r>
        <w:t xml:space="preserve">4. Independence and Ethics</w:t>
      </w:r>
    </w:p>
    <w:p>
      <w:pPr>
        <w:pStyle w:val="FirstParagraph"/>
      </w:pPr>
      <w:r>
        <w:t xml:space="preserve">Independence is the cornerstone of the auditing profession. This Peer Review Report scrutinizes the Auditor's adherence to ethical standards, particularly regarding conflicts of interest. The Auditor has demonstrated a strong commitment to independence, both in fact and in appearance.</w:t>
      </w:r>
    </w:p>
    <w:p>
      <w:pPr>
        <w:pStyle w:val="BodyText"/>
      </w:pPr>
      <w:r>
        <w:t xml:space="preserve">We reviewed the Auditor's independence confirmations and found no violations of the AICPA Code of Professional Conduct or the PCAOB independence rules. The Auditor has established effective safeguards to prevent any financial or personal relationships from compromising their objectivity. This is particularly relevant in the United States New York City, where professional networks are dense, and the potential for conflicts is higher. The Auditor's policies on non-audit services provided to audit clients are strictly enforced to maintain this independence.</w:t>
      </w:r>
    </w:p>
    <w:bookmarkEnd w:id="24"/>
    <w:bookmarkStart w:id="25" w:name="findings-and-observations"/>
    <w:p>
      <w:pPr>
        <w:pStyle w:val="Heading2"/>
      </w:pPr>
      <w:r>
        <w:t xml:space="preserve">5. Findings and Observations</w:t>
      </w:r>
    </w:p>
    <w:p>
      <w:pPr>
        <w:pStyle w:val="FirstParagraph"/>
      </w:pPr>
      <w:r>
        <w:t xml:space="preserve">Based on the examination of selected audit files and interviews with the Auditor's staff, the following findings are noted in this Peer Review Report:</w:t>
      </w:r>
    </w:p>
    <w:p>
      <w:pPr>
        <w:numPr>
          <w:ilvl w:val="0"/>
          <w:numId w:val="1002"/>
        </w:numPr>
        <w:pStyle w:val="Compact"/>
      </w:pPr>
      <w:r>
        <w:rPr>
          <w:bCs/>
          <w:b/>
        </w:rPr>
        <w:t xml:space="preserve">Strengths:</w:t>
      </w:r>
      <w:r>
        <w:t xml:space="preserve"> </w:t>
      </w:r>
      <w:r>
        <w:t xml:space="preserve">The Auditor exhibits exceptional technical competence in complex accounting issues relevant to the United States New York City market. The audit reports are clear, concise, and compliant with all formatting requirements.</w:t>
      </w:r>
    </w:p>
    <w:p>
      <w:pPr>
        <w:numPr>
          <w:ilvl w:val="0"/>
          <w:numId w:val="1002"/>
        </w:numPr>
        <w:pStyle w:val="Compact"/>
      </w:pPr>
      <w:r>
        <w:rPr>
          <w:bCs/>
          <w:b/>
        </w:rPr>
        <w:t xml:space="preserve">Areas for Improvement:</w:t>
      </w:r>
      <w:r>
        <w:t xml:space="preserve"> </w:t>
      </w:r>
      <w:r>
        <w:t xml:space="preserve">While the documentation is generally thorough, there were minor instances where the rationale for specific materiality thresholds could be more explicitly documented. Additionally, the Auditor is encouraged to further enhance training on emerging cybersecurity risks, which are increasingly relevant for clients in the United States New York City.</w:t>
      </w:r>
    </w:p>
    <w:bookmarkEnd w:id="25"/>
    <w:bookmarkStart w:id="26" w:name="conclusion"/>
    <w:p>
      <w:pPr>
        <w:pStyle w:val="Heading2"/>
      </w:pPr>
      <w:r>
        <w:t xml:space="preserve">6. Conclusion</w:t>
      </w:r>
    </w:p>
    <w:p>
      <w:pPr>
        <w:pStyle w:val="FirstParagraph"/>
      </w:pPr>
      <w:r>
        <w:t xml:space="preserve">In conclusion, this Peer Review Report affirms that the Auditor operates at a high level of professional competence and ethical integrity. The Auditor's practices are fully aligned with the rigorous standards expected in the United States New York City. The Auditor has demonstrated the capability to provide reliable assurance services, thereby contributing to the integrity of the financial markets in the region.</w:t>
      </w:r>
    </w:p>
    <w:p>
      <w:pPr>
        <w:pStyle w:val="BodyText"/>
      </w:pPr>
      <w:r>
        <w:t xml:space="preserve">The Peer Review Report recommends that the Auditor continue to monitor changes in regulatory requirements specific to New York State and the United States federal government to ensure ongoing compliance. Overall, the Auditor is deemed to be in substantial conformance with professional standards.</w:t>
      </w:r>
    </w:p>
    <w:p>
      <w:pPr>
        <w:pStyle w:val="BodyText"/>
      </w:pPr>
      <w:r>
        <w:rPr>
          <w:bCs/>
          <w:b/>
        </w:rPr>
        <w:t xml:space="preserve">Prepared by:</w:t>
      </w:r>
    </w:p>
    <w:p>
      <w:pPr>
        <w:pStyle w:val="BodyText"/>
      </w:pPr>
      <w:r>
        <w:t xml:space="preserve">[Name of Reviewing Partner]</w:t>
      </w:r>
    </w:p>
    <w:p>
      <w:pPr>
        <w:pStyle w:val="BodyText"/>
      </w:pPr>
      <w:r>
        <w:t xml:space="preserve">Senior Reviewer, Peer Review Board</w:t>
      </w:r>
    </w:p>
    <w:p>
      <w:pPr>
        <w:pStyle w:val="BodyText"/>
      </w:pPr>
      <w:r>
        <w:t xml:space="preserve">United States New York City</w:t>
      </w:r>
    </w:p>
    <w:p>
      <w:pPr>
        <w:pStyle w:val="BodyText"/>
      </w:pPr>
      <w:r>
        <w:rPr>
          <w:bCs/>
          <w:b/>
        </w:rPr>
        <w:t xml:space="preserve">Disclaimer:</w:t>
      </w:r>
      <w:r>
        <w:t xml:space="preserve"> </w:t>
      </w:r>
      <w:r>
        <w:t xml:space="preserve">This Peer Review Report is intended solely for the use of the addressee and regulatory bodies in the United States New York City. It should not be relied upon by any third party. The findings contained herein are based on the information available at the time of the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Independent Auditor Evaluation</dc:title>
  <dc:creator/>
  <dc:language>en</dc:language>
  <cp:keywords/>
  <dcterms:created xsi:type="dcterms:W3CDTF">2026-10-10T08:53:11Z</dcterms:created>
  <dcterms:modified xsi:type="dcterms:W3CDTF">2026-10-10T08:53:11Z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