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e1dfa1c6749e14681a1c1be8e1cca65bbcd2a7a"/>
    <w:p>
      <w:pPr>
        <w:pStyle w:val="Heading1"/>
      </w:pPr>
      <w:r>
        <w:t xml:space="preserve">Peer Review Report: Auditor Performance Evaluation</w:t>
      </w:r>
    </w:p>
    <w:p>
      <w:pPr>
        <w:pStyle w:val="FirstParagraph"/>
      </w:pPr>
      <w:r>
        <w:rPr>
          <w:bCs/>
          <w:b/>
        </w:rPr>
        <w:t xml:space="preserve">Subject:</w:t>
      </w:r>
      <w:r>
        <w:t xml:space="preserve"> </w:t>
      </w:r>
      <w:r>
        <w:t xml:space="preserve">Annual Peer Review of Lead Auditor</w:t>
      </w:r>
      <w:r>
        <w:br/>
      </w:r>
      <w:r>
        <w:rPr>
          <w:bCs/>
          <w:b/>
        </w:rPr>
        <w:t xml:space="preserve">Location:</w:t>
      </w:r>
      <w:r>
        <w:t xml:space="preserve"> </w:t>
      </w:r>
      <w:r>
        <w:t xml:space="preserve">San Francisco, California, United States</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Audit Quality Assurance Committee</w:t>
      </w:r>
      <w:r>
        <w:br/>
      </w:r>
      <w:r>
        <w:rPr>
          <w:bCs/>
          <w:b/>
        </w:rPr>
        <w:t xml:space="preserve">Reference ID:</w:t>
      </w:r>
      <w:r>
        <w:t xml:space="preserve"> </w:t>
      </w:r>
      <w:r>
        <w:t xml:space="preserve">SF-AUD-2023-089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competence, and ethical adherence of the designated Auditor operating within the jurisdiction of San Francisco, United States. The review was conducted in accordance with the standards set forth by the American Institute of Certified Public Accountants (AICPA) and the specific regulatory requirements enforced by the California Board of Accountancy. The primary objective of this assessment is to ensure that the Auditor maintains the highest level of integrity and technical proficiency required to serve the diverse financial landscape of San Francisco.</w:t>
      </w:r>
    </w:p>
    <w:p>
      <w:pPr>
        <w:pStyle w:val="BodyText"/>
      </w:pPr>
      <w:r>
        <w:t xml:space="preserve">The review period covers the fiscal year ending September 30, 2023. The evaluation encompasses a detailed analysis of audit workpapers, client engagement files, and adherence to Generally Accepted Auditing Standards (GAAS). The findings indicate a generally high standard of performance, with specific areas identified for professional development to align with the evolving regulatory environment in the United States.</w:t>
      </w:r>
    </w:p>
    <w:bookmarkEnd w:id="20"/>
    <w:bookmarkStart w:id="21" w:name="scope-and-methodology"/>
    <w:p>
      <w:pPr>
        <w:pStyle w:val="Heading2"/>
      </w:pPr>
      <w:r>
        <w:t xml:space="preserve">2. Scope and Methodology</w:t>
      </w:r>
    </w:p>
    <w:p>
      <w:pPr>
        <w:pStyle w:val="FirstParagraph"/>
      </w:pPr>
      <w:r>
        <w:t xml:space="preserve">The scope of this Peer Review Report was defined to assess the Auditor's compliance with professional standards across three key dimensions: technical expertise, ethical conduct, and quality control. The methodology involved a random selection of five audit engagements completed by the Auditor during the review period. These engagements included entities operating in the technology, real estate, and financial services sectors, which are predominant industries in San Francisco.</w:t>
      </w:r>
    </w:p>
    <w:p>
      <w:pPr>
        <w:pStyle w:val="BodyText"/>
      </w:pPr>
      <w:r>
        <w:t xml:space="preserve">The review team examined the planning memoranda, risk assessment documentation, substantive testing procedures, and final audit reports. Furthermore, the review included an interview with the Auditor to discuss their approach to complex accounting issues and their understanding of local San Francisco tax ordinances and municipal regulations.</w:t>
      </w:r>
    </w:p>
    <w:bookmarkEnd w:id="21"/>
    <w:bookmarkStart w:id="24" w:name="evaluation-of-technical-competence"/>
    <w:p>
      <w:pPr>
        <w:pStyle w:val="Heading2"/>
      </w:pPr>
      <w:r>
        <w:t xml:space="preserve">3. Evaluation of Technical Competence</w:t>
      </w:r>
    </w:p>
    <w:p>
      <w:pPr>
        <w:pStyle w:val="FirstParagraph"/>
      </w:pPr>
      <w:r>
        <w:t xml:space="preserve">The Auditor demonstrated a robust understanding of Generally Accepted Accounting Principles (GAAP) and the ability to apply these principles to complex transactions. In the context of San Francisco's dynamic market, the Auditor showed particular proficiency in handling revenue recognition for software-as-a-service (SaaS) companies and valuation of real estate assets.</w:t>
      </w:r>
    </w:p>
    <w:bookmarkStart w:id="22" w:name="adherence-to-gaas"/>
    <w:p>
      <w:pPr>
        <w:pStyle w:val="Heading3"/>
      </w:pPr>
      <w:r>
        <w:t xml:space="preserve">3.1 Adherence to GAAS</w:t>
      </w:r>
    </w:p>
    <w:p>
      <w:pPr>
        <w:pStyle w:val="FirstParagraph"/>
      </w:pPr>
      <w:r>
        <w:t xml:space="preserve">The workpapers reviewed were well-organized and provided sufficient evidence to support the audit opinions issued. The Auditor consistently documented their risk assessment processes, identifying significant risks related to fraud and error. The application of professional skepticism was evident in the testing of management assertions, particularly regarding related-party transactions.</w:t>
      </w:r>
    </w:p>
    <w:bookmarkEnd w:id="22"/>
    <w:bookmarkStart w:id="23" w:name="local-regulatory-knowledge"/>
    <w:p>
      <w:pPr>
        <w:pStyle w:val="Heading3"/>
      </w:pPr>
      <w:r>
        <w:t xml:space="preserve">3.2 Local Regulatory Knowledge</w:t>
      </w:r>
    </w:p>
    <w:p>
      <w:pPr>
        <w:pStyle w:val="FirstParagraph"/>
      </w:pPr>
      <w:r>
        <w:t xml:space="preserve">A critical aspect of this review was the Auditor's familiarity with regulations specific to San Francisco and the State of California. The Auditor correctly accounted for the San Francisco Business Tax and adhered to the California Corporate Franchise Tax requirements in the reviewed engagements. However, the review noted a minor oversight in the documentation of compliance with the San Francisco Paid Sick Leave Ordinance in one specific engagement, which has been flagged for correction.</w:t>
      </w:r>
    </w:p>
    <w:bookmarkEnd w:id="23"/>
    <w:bookmarkEnd w:id="24"/>
    <w:bookmarkStart w:id="25" w:name="ethical-conduct-and-independence"/>
    <w:p>
      <w:pPr>
        <w:pStyle w:val="Heading2"/>
      </w:pPr>
      <w:r>
        <w:t xml:space="preserve">4. Ethical Conduct and Independence</w:t>
      </w:r>
    </w:p>
    <w:p>
      <w:pPr>
        <w:pStyle w:val="FirstParagraph"/>
      </w:pPr>
      <w:r>
        <w:t xml:space="preserve">Integrity and independence are paramount for any Auditor practicing in the United States. This Peer Review Report confirms that the Auditor maintained strict independence in all reviewed engagements. There were no conflicts of interest identified, and the Auditor adhered to the AICPA Code of Professional Conduct.</w:t>
      </w:r>
    </w:p>
    <w:p>
      <w:pPr>
        <w:pStyle w:val="BodyText"/>
      </w:pPr>
      <w:r>
        <w:t xml:space="preserve">The Auditor demonstrated a commitment to confidentiality, ensuring that sensitive client data was protected in accordance with federal and state privacy laws. The review team observed that the Auditor proactively disclosed potential threats to independence and implemented appropriate safeguards where necessary.</w:t>
      </w:r>
    </w:p>
    <w:bookmarkEnd w:id="25"/>
    <w:bookmarkStart w:id="26" w:name="quality-control-and-documentation"/>
    <w:p>
      <w:pPr>
        <w:pStyle w:val="Heading2"/>
      </w:pPr>
      <w:r>
        <w:t xml:space="preserve">5. Quality Control and Documentation</w:t>
      </w:r>
    </w:p>
    <w:p>
      <w:pPr>
        <w:pStyle w:val="FirstParagraph"/>
      </w:pPr>
      <w:r>
        <w:t xml:space="preserve">The quality of the audit documentation was assessed against the standards required for a peer review in the United States. The Auditor's files were generally complete, with clear cross-referencing and logical flow. The audit reports were clear, concise, and free from material misstatement.</w:t>
      </w:r>
    </w:p>
    <w:p>
      <w:pPr>
        <w:pStyle w:val="BodyText"/>
      </w:pPr>
      <w:r>
        <w:t xml:space="preserve">One area for improvement identified in this Peer Review Report is the timeliness of file completion. In two instances, the audit files were finalized after the statutory deadline. While this did not impact the quality of the audit opinion, timely documentation is essential for effective quality control and regulatory compliance in San Francisco.</w:t>
      </w:r>
    </w:p>
    <w:bookmarkEnd w:id="26"/>
    <w:bookmarkStart w:id="27" w:name="recommendations-and-conclusion"/>
    <w:p>
      <w:pPr>
        <w:pStyle w:val="Heading2"/>
      </w:pPr>
      <w:r>
        <w:t xml:space="preserve">6. Recommendations and Conclusion</w:t>
      </w:r>
    </w:p>
    <w:p>
      <w:pPr>
        <w:pStyle w:val="FirstParagraph"/>
      </w:pPr>
      <w:r>
        <w:t xml:space="preserve">Based on the findings of this Peer Review Report, the Auditor is deemed to be in substantial conformance with professional standards. The Auditor possesses the necessary technical skills and ethical grounding to serve clients in San Francisco effectively.</w:t>
      </w:r>
    </w:p>
    <w:p>
      <w:pPr>
        <w:pStyle w:val="BodyText"/>
      </w:pPr>
      <w:r>
        <w:t xml:space="preserve">To further enhance the quality of their practice, the following recommendations are made:</w:t>
      </w:r>
    </w:p>
    <w:p>
      <w:pPr>
        <w:numPr>
          <w:ilvl w:val="0"/>
          <w:numId w:val="1001"/>
        </w:numPr>
        <w:pStyle w:val="Compact"/>
      </w:pPr>
      <w:r>
        <w:t xml:space="preserve">Enhance documentation practices regarding local San Francisco labor ordinances to ensure comprehensive compliance.</w:t>
      </w:r>
    </w:p>
    <w:p>
      <w:pPr>
        <w:numPr>
          <w:ilvl w:val="0"/>
          <w:numId w:val="1001"/>
        </w:numPr>
        <w:pStyle w:val="Compact"/>
      </w:pPr>
      <w:r>
        <w:t xml:space="preserve">Implement stricter internal deadlines for audit file completion to ensure adherence to regulatory timelines.</w:t>
      </w:r>
    </w:p>
    <w:p>
      <w:pPr>
        <w:numPr>
          <w:ilvl w:val="0"/>
          <w:numId w:val="1001"/>
        </w:numPr>
        <w:pStyle w:val="Compact"/>
      </w:pPr>
      <w:r>
        <w:t xml:space="preserve">Continue professional development in emerging areas such as cryptocurrency auditing and ESG (Environmental, Social, and Governance) reporting, which are increasingly relevant in the San Francisco market.</w:t>
      </w:r>
    </w:p>
    <w:p>
      <w:pPr>
        <w:pStyle w:val="FirstParagraph"/>
      </w:pPr>
      <w:r>
        <w:t xml:space="preserve">In conclusion, this Peer Review Report affirms the Auditor's competence and commitment to professional excellence. The Auditor is well-positioned to meet the challenges of the auditing profession in the United States, specifically within the unique economic environment of San Francisco.</w:t>
      </w:r>
    </w:p>
    <w:bookmarkEnd w:id="27"/>
    <w:p>
      <w:pPr>
        <w:pStyle w:val="BodyText"/>
      </w:pPr>
      <w:r>
        <w:rPr>
          <w:bCs/>
          <w:b/>
        </w:rPr>
        <w:t xml:space="preserve">Prepared By:</w:t>
      </w:r>
      <w:r>
        <w:br/>
      </w:r>
      <w:r>
        <w:t xml:space="preserve">Jane Doe, CPA</w:t>
      </w:r>
      <w:r>
        <w:br/>
      </w:r>
      <w:r>
        <w:t xml:space="preserve">Senior Reviewer</w:t>
      </w:r>
      <w:r>
        <w:br/>
      </w:r>
      <w:r>
        <w:t xml:space="preserve">Audit Quality Assurance Committee</w:t>
      </w:r>
    </w:p>
    <w:p>
      <w:pPr>
        <w:pStyle w:val="BodyText"/>
      </w:pPr>
      <w:r>
        <w:rPr>
          <w:bCs/>
          <w:b/>
        </w:rPr>
        <w:t xml:space="preserve">Reviewed By:</w:t>
      </w:r>
      <w:r>
        <w:br/>
      </w:r>
      <w:r>
        <w:t xml:space="preserve">John Smith, CPA</w:t>
      </w:r>
      <w:r>
        <w:br/>
      </w:r>
      <w:r>
        <w:t xml:space="preserve">Committee Chair</w:t>
      </w:r>
      <w:r>
        <w:br/>
      </w:r>
      <w:r>
        <w:t xml:space="preserve">San Francisco Chapter</w:t>
      </w:r>
    </w:p>
    <w:p>
      <w:pPr>
        <w:pStyle w:val="BodyText"/>
      </w:pPr>
      <w:r>
        <w:t xml:space="preserve">Signature of Reviewer</w:t>
      </w:r>
    </w:p>
    <w:p>
      <w:pPr>
        <w:pStyle w:val="BodyText"/>
      </w:pPr>
      <w:r>
        <w:t xml:space="preserve">Signature of Auditor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San Francisco, United States</dc:title>
  <dc:creator/>
  <dc:language>en</dc:language>
  <cp:keywords/>
  <dcterms:created xsi:type="dcterms:W3CDTF">2026-10-10T08:13:26Z</dcterms:created>
  <dcterms:modified xsi:type="dcterms:W3CDTF">2026-10-10T08:13:26Z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