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Performance</w:t>
      </w:r>
      <w:r>
        <w:t xml:space="preserve"> </w:t>
      </w:r>
      <w:r>
        <w:t xml:space="preserve">in</w:t>
      </w:r>
      <w:r>
        <w:t xml:space="preserve"> </w:t>
      </w:r>
      <w:r>
        <w:t xml:space="preserve">Uzbekistan</w:t>
      </w:r>
      <w:r>
        <w:t xml:space="preserve"> </w:t>
      </w:r>
      <w:r>
        <w:t xml:space="preserve">Tashkent</w:t>
      </w:r>
    </w:p>
    <w:bookmarkStart w:id="20" w:name="Xe1dfa1c6749e14681a1c1be8e1cca65bbcd2a7a"/>
    <w:p>
      <w:pPr>
        <w:pStyle w:val="Heading1"/>
      </w:pPr>
      <w:r>
        <w:t xml:space="preserve">Peer Review Report: Auditor Performance Evaluation</w:t>
      </w:r>
    </w:p>
    <w:p>
      <w:pPr>
        <w:pStyle w:val="FirstParagraph"/>
      </w:pPr>
      <w:r>
        <w:rPr>
          <w:bCs/>
          <w:b/>
        </w:rPr>
        <w:t xml:space="preserve">Location:</w:t>
      </w:r>
      <w:r>
        <w:t xml:space="preserve"> </w:t>
      </w:r>
      <w:r>
        <w:t xml:space="preserve">Uzbekistan Tashkent</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Annual Quality Assurance</w:t>
      </w:r>
      <w:r>
        <w:br/>
      </w:r>
      <w:r>
        <w:rPr>
          <w:bCs/>
          <w:b/>
        </w:rPr>
        <w:t xml:space="preserve">Reference:</w:t>
      </w:r>
      <w:r>
        <w:t xml:space="preserve"> </w:t>
      </w:r>
      <w:r>
        <w:t xml:space="preserve">ISQM 1 / ISA Standards</w:t>
      </w:r>
    </w:p>
    <w:bookmarkEnd w:id="20"/>
    <w:p>
      <w:pPr>
        <w:pStyle w:val="BodyText"/>
      </w:pPr>
      <w:r>
        <w:t xml:space="preserve">This document serves as a formal</w:t>
      </w:r>
      <w:r>
        <w:t xml:space="preserve"> </w:t>
      </w:r>
      <w:r>
        <w:rPr>
          <w:bCs/>
          <w:b/>
        </w:rPr>
        <w:t xml:space="preserve">Peer Review Report</w:t>
      </w:r>
      <w:r>
        <w:t xml:space="preserve"> </w:t>
      </w:r>
      <w:r>
        <w:t xml:space="preserve">regarding the professional performance, technical competence, and ethical adherence of the designated</w:t>
      </w:r>
      <w:r>
        <w:t xml:space="preserve"> </w:t>
      </w:r>
      <w:r>
        <w:rPr>
          <w:bCs/>
          <w:b/>
        </w:rPr>
        <w:t xml:space="preserve">Auditor</w:t>
      </w:r>
      <w:r>
        <w:t xml:space="preserve">. This evaluation is conducted within the specific regulatory and economic context of</w:t>
      </w:r>
      <w:r>
        <w:t xml:space="preserve"> </w:t>
      </w:r>
      <w:r>
        <w:rPr>
          <w:bCs/>
          <w:b/>
        </w:rPr>
        <w:t xml:space="preserve">Uzbekistan Tashkent</w:t>
      </w:r>
      <w:r>
        <w:t xml:space="preserve">, the capital city and financial hub of the Republic of Uzbekistan. As the nation continues its rapid economic reforms and integration into global markets, the role of the external auditor in Tashkent has become increasingly critical for ensuring transparency, investor confidence, and compliance with both local legislation and International Standards on Auditing (ISA).</w:t>
      </w:r>
    </w:p>
    <w:bookmarkStart w:id="21" w:name="executive-summary"/>
    <w:p>
      <w:pPr>
        <w:pStyle w:val="Heading2"/>
      </w:pPr>
      <w:r>
        <w:t xml:space="preserve">1. Executive Summary</w:t>
      </w:r>
    </w:p>
    <w:p>
      <w:pPr>
        <w:pStyle w:val="FirstParagraph"/>
      </w:pPr>
      <w:r>
        <w:t xml:space="preserve">The purpose of this</w:t>
      </w:r>
      <w:r>
        <w:t xml:space="preserve"> </w:t>
      </w:r>
      <w:r>
        <w:rPr>
          <w:bCs/>
          <w:b/>
        </w:rPr>
        <w:t xml:space="preserve">Peer Review Report</w:t>
      </w:r>
      <w:r>
        <w:t xml:space="preserve"> </w:t>
      </w:r>
      <w:r>
        <w:t xml:space="preserve">is to assess the quality of audit work performed by the subject</w:t>
      </w:r>
      <w:r>
        <w:t xml:space="preserve"> </w:t>
      </w:r>
      <w:r>
        <w:rPr>
          <w:bCs/>
          <w:b/>
        </w:rPr>
        <w:t xml:space="preserve">Auditor</w:t>
      </w:r>
      <w:r>
        <w:t xml:space="preserve"> </w:t>
      </w:r>
      <w:r>
        <w:t xml:space="preserve">over the preceding fiscal year. The review focuses on engagements conducted primarily within</w:t>
      </w:r>
      <w:r>
        <w:t xml:space="preserve"> </w:t>
      </w:r>
      <w:r>
        <w:rPr>
          <w:bCs/>
          <w:b/>
        </w:rPr>
        <w:t xml:space="preserve">Uzbekistan Tashkent</w:t>
      </w:r>
      <w:r>
        <w:t xml:space="preserve">, covering a diverse range of clients including manufacturing firms, financial institutions, and service providers. The overall conclusion of this review is that the</w:t>
      </w:r>
      <w:r>
        <w:t xml:space="preserve"> </w:t>
      </w:r>
      <w:r>
        <w:rPr>
          <w:bCs/>
          <w:b/>
        </w:rPr>
        <w:t xml:space="preserve">Auditor</w:t>
      </w:r>
      <w:r>
        <w:t xml:space="preserve"> </w:t>
      </w:r>
      <w:r>
        <w:t xml:space="preserve">demonstrates a high level of technical proficiency and a strong commitment to professional ethics. However, specific areas regarding the documentation of risk assessments in the context of evolving Uzbek tax laws require minor improvements.</w:t>
      </w:r>
    </w:p>
    <w:bookmarkEnd w:id="21"/>
    <w:bookmarkStart w:id="22" w:name="scope-and-methodology"/>
    <w:p>
      <w:pPr>
        <w:pStyle w:val="Heading2"/>
      </w:pPr>
      <w:r>
        <w:t xml:space="preserve">2. Scope and Methodology</w:t>
      </w:r>
    </w:p>
    <w:p>
      <w:pPr>
        <w:pStyle w:val="FirstParagraph"/>
      </w:pPr>
      <w:r>
        <w:t xml:space="preserve">This</w:t>
      </w:r>
      <w:r>
        <w:t xml:space="preserve"> </w:t>
      </w:r>
      <w:r>
        <w:rPr>
          <w:bCs/>
          <w:b/>
        </w:rPr>
        <w:t xml:space="preserve">Peer Review Report</w:t>
      </w:r>
      <w:r>
        <w:t xml:space="preserve"> </w:t>
      </w:r>
      <w:r>
        <w:t xml:space="preserve">was prepared in accordance with the requirements of the Ministry of Justice of the Republic of Uzbekistan and the standards set by the Institute of Certified Public Accountants of Uzbekistan. The methodology involved a detailed examination of five selected audit files from</w:t>
      </w:r>
      <w:r>
        <w:t xml:space="preserve"> </w:t>
      </w:r>
      <w:r>
        <w:rPr>
          <w:bCs/>
          <w:b/>
        </w:rPr>
        <w:t xml:space="preserve">Uzbekistan Tashkent</w:t>
      </w:r>
      <w:r>
        <w:t xml:space="preserve">. The review team analyzed the audit planning, execution, and reporting phases to determine if the</w:t>
      </w:r>
      <w:r>
        <w:t xml:space="preserve"> </w:t>
      </w:r>
      <w:r>
        <w:rPr>
          <w:bCs/>
          <w:b/>
        </w:rPr>
        <w:t xml:space="preserve">Auditor</w:t>
      </w:r>
      <w:r>
        <w:t xml:space="preserve"> </w:t>
      </w:r>
      <w:r>
        <w:t xml:space="preserve">adhered to International Standards on Auditing (ISA) as adopted in Uzbekistan.</w:t>
      </w:r>
    </w:p>
    <w:p>
      <w:pPr>
        <w:pStyle w:val="BodyText"/>
      </w:pPr>
      <w:r>
        <w:t xml:space="preserve">Special attention was paid to the</w:t>
      </w:r>
      <w:r>
        <w:t xml:space="preserve"> </w:t>
      </w:r>
      <w:r>
        <w:rPr>
          <w:bCs/>
          <w:b/>
        </w:rPr>
        <w:t xml:space="preserve">Auditor</w:t>
      </w:r>
      <w:r>
        <w:t xml:space="preserve">'s ability to navigate the complex regulatory environment of</w:t>
      </w:r>
      <w:r>
        <w:t xml:space="preserve"> </w:t>
      </w:r>
      <w:r>
        <w:rPr>
          <w:bCs/>
          <w:b/>
        </w:rPr>
        <w:t xml:space="preserve">Uzbekistan Tashkent</w:t>
      </w:r>
      <w:r>
        <w:t xml:space="preserve">, including compliance with the Tax Code of the Republic of Uzbekistan and local financial reporting standards.</w:t>
      </w:r>
    </w:p>
    <w:bookmarkEnd w:id="22"/>
    <w:bookmarkStart w:id="25" w:name="evaluation-of-professional-competence"/>
    <w:p>
      <w:pPr>
        <w:pStyle w:val="Heading2"/>
      </w:pPr>
      <w:r>
        <w:t xml:space="preserve">3. Evaluation of Professional Competence</w:t>
      </w:r>
    </w:p>
    <w:p>
      <w:pPr>
        <w:pStyle w:val="FirstParagraph"/>
      </w:pPr>
      <w:r>
        <w:t xml:space="preserve">The</w:t>
      </w:r>
      <w:r>
        <w:t xml:space="preserve"> </w:t>
      </w:r>
      <w:r>
        <w:rPr>
          <w:bCs/>
          <w:b/>
        </w:rPr>
        <w:t xml:space="preserve">Auditor</w:t>
      </w:r>
      <w:r>
        <w:t xml:space="preserve"> </w:t>
      </w:r>
      <w:r>
        <w:t xml:space="preserve">has demonstrated robust technical knowledge essential for operating in</w:t>
      </w:r>
      <w:r>
        <w:t xml:space="preserve"> </w:t>
      </w:r>
      <w:r>
        <w:rPr>
          <w:bCs/>
          <w:b/>
        </w:rPr>
        <w:t xml:space="preserve">Uzbekistan Tashkent</w:t>
      </w:r>
      <w:r>
        <w:t xml:space="preserve">. The review confirms that the</w:t>
      </w:r>
      <w:r>
        <w:t xml:space="preserve"> </w:t>
      </w:r>
      <w:r>
        <w:rPr>
          <w:bCs/>
          <w:b/>
        </w:rPr>
        <w:t xml:space="preserve">Auditor</w:t>
      </w:r>
      <w:r>
        <w:t xml:space="preserve"> </w:t>
      </w:r>
      <w:r>
        <w:t xml:space="preserve">possesses a deep understanding of the local accounting framework, which is increasingly aligned with IFRS (International Financial Reporting Standards). This alignment is crucial for Tashkent-based companies seeking foreign investment.</w:t>
      </w:r>
    </w:p>
    <w:bookmarkStart w:id="23" w:name="risk-assessment-and-materiality"/>
    <w:p>
      <w:pPr>
        <w:pStyle w:val="Heading3"/>
      </w:pPr>
      <w:r>
        <w:t xml:space="preserve">3.1 Risk Assessment and Materiality</w:t>
      </w:r>
    </w:p>
    <w:p>
      <w:pPr>
        <w:pStyle w:val="FirstParagraph"/>
      </w:pPr>
      <w:r>
        <w:t xml:space="preserve">In the context of</w:t>
      </w:r>
      <w:r>
        <w:t xml:space="preserve"> </w:t>
      </w:r>
      <w:r>
        <w:rPr>
          <w:bCs/>
          <w:b/>
        </w:rPr>
        <w:t xml:space="preserve">Uzbekistan Tashkent</w:t>
      </w:r>
      <w:r>
        <w:t xml:space="preserve">, where economic volatility can impact asset valuation, the</w:t>
      </w:r>
      <w:r>
        <w:t xml:space="preserve"> </w:t>
      </w:r>
      <w:r>
        <w:rPr>
          <w:bCs/>
          <w:b/>
        </w:rPr>
        <w:t xml:space="preserve">Auditor</w:t>
      </w:r>
      <w:r>
        <w:t xml:space="preserve"> </w:t>
      </w:r>
      <w:r>
        <w:t xml:space="preserve">showed commendable skill in identifying significant risks. The</w:t>
      </w:r>
      <w:r>
        <w:t xml:space="preserve"> </w:t>
      </w:r>
      <w:r>
        <w:rPr>
          <w:bCs/>
          <w:b/>
        </w:rPr>
        <w:t xml:space="preserve">Peer Review Report</w:t>
      </w:r>
      <w:r>
        <w:t xml:space="preserve"> </w:t>
      </w:r>
      <w:r>
        <w:t xml:space="preserve">notes that the</w:t>
      </w:r>
      <w:r>
        <w:t xml:space="preserve"> </w:t>
      </w:r>
      <w:r>
        <w:rPr>
          <w:bCs/>
          <w:b/>
        </w:rPr>
        <w:t xml:space="preserve">Auditor</w:t>
      </w:r>
      <w:r>
        <w:t xml:space="preserve"> </w:t>
      </w:r>
      <w:r>
        <w:t xml:space="preserve">effectively utilized analytical procedures to detect anomalies in revenue recognition and inventory valuation. The documentation provided clear evidence that the</w:t>
      </w:r>
      <w:r>
        <w:t xml:space="preserve"> </w:t>
      </w:r>
      <w:r>
        <w:rPr>
          <w:bCs/>
          <w:b/>
        </w:rPr>
        <w:t xml:space="preserve">Auditor</w:t>
      </w:r>
      <w:r>
        <w:t xml:space="preserve"> </w:t>
      </w:r>
      <w:r>
        <w:t xml:space="preserve">considered the specific industry risks prevalent in the Tashkent region.</w:t>
      </w:r>
    </w:p>
    <w:bookmarkEnd w:id="23"/>
    <w:bookmarkStart w:id="24" w:name="internal-controls-evaluation"/>
    <w:p>
      <w:pPr>
        <w:pStyle w:val="Heading3"/>
      </w:pPr>
      <w:r>
        <w:t xml:space="preserve">3.2 Internal Controls Evaluation</w:t>
      </w:r>
    </w:p>
    <w:p>
      <w:pPr>
        <w:pStyle w:val="FirstParagraph"/>
      </w:pPr>
      <w:r>
        <w:t xml:space="preserve">The</w:t>
      </w:r>
      <w:r>
        <w:t xml:space="preserve"> </w:t>
      </w:r>
      <w:r>
        <w:rPr>
          <w:bCs/>
          <w:b/>
        </w:rPr>
        <w:t xml:space="preserve">Auditor</w:t>
      </w:r>
      <w:r>
        <w:t xml:space="preserve"> </w:t>
      </w:r>
      <w:r>
        <w:t xml:space="preserve">conducted thorough tests of controls for clients in</w:t>
      </w:r>
      <w:r>
        <w:t xml:space="preserve"> </w:t>
      </w:r>
      <w:r>
        <w:rPr>
          <w:bCs/>
          <w:b/>
        </w:rPr>
        <w:t xml:space="preserve">Uzbekistan Tashkent</w:t>
      </w:r>
      <w:r>
        <w:t xml:space="preserve">. The review found that the</w:t>
      </w:r>
      <w:r>
        <w:t xml:space="preserve"> </w:t>
      </w:r>
      <w:r>
        <w:rPr>
          <w:bCs/>
          <w:b/>
        </w:rPr>
        <w:t xml:space="preserve">Auditor</w:t>
      </w:r>
      <w:r>
        <w:t xml:space="preserve"> </w:t>
      </w:r>
      <w:r>
        <w:t xml:space="preserve">correctly identified weaknesses in internal financial controls, particularly in cash management processes, and appropriately adjusted the substantive testing strategy. This proactive approach is vital for maintaining the integrity of financial statements in the dynamic business environment of Tashkent.</w:t>
      </w:r>
    </w:p>
    <w:bookmarkEnd w:id="24"/>
    <w:bookmarkEnd w:id="25"/>
    <w:bookmarkStart w:id="26" w:name="ethical-compliance-and-independence"/>
    <w:p>
      <w:pPr>
        <w:pStyle w:val="Heading2"/>
      </w:pPr>
      <w:r>
        <w:t xml:space="preserve">4. Ethical Compliance and Independence</w:t>
      </w:r>
    </w:p>
    <w:p>
      <w:pPr>
        <w:pStyle w:val="FirstParagraph"/>
      </w:pPr>
      <w:r>
        <w:t xml:space="preserve">A cornerstone of this</w:t>
      </w:r>
      <w:r>
        <w:t xml:space="preserve"> </w:t>
      </w:r>
      <w:r>
        <w:rPr>
          <w:bCs/>
          <w:b/>
        </w:rPr>
        <w:t xml:space="preserve">Peer Review Report</w:t>
      </w:r>
      <w:r>
        <w:t xml:space="preserve"> </w:t>
      </w:r>
      <w:r>
        <w:t xml:space="preserve">is the assessment of the</w:t>
      </w:r>
      <w:r>
        <w:t xml:space="preserve"> </w:t>
      </w:r>
      <w:r>
        <w:rPr>
          <w:bCs/>
          <w:b/>
        </w:rPr>
        <w:t xml:space="preserve">Auditor</w:t>
      </w:r>
      <w:r>
        <w:t xml:space="preserve">'s ethical conduct. The review confirms that the</w:t>
      </w:r>
      <w:r>
        <w:t xml:space="preserve"> </w:t>
      </w:r>
      <w:r>
        <w:rPr>
          <w:bCs/>
          <w:b/>
        </w:rPr>
        <w:t xml:space="preserve">Auditor</w:t>
      </w:r>
      <w:r>
        <w:t xml:space="preserve"> </w:t>
      </w:r>
      <w:r>
        <w:t xml:space="preserve">strictly adhered to the Code of Ethics for Professional Accountants. There were no indications of conflicts of interest or threats to independence during the engagements reviewed in</w:t>
      </w:r>
      <w:r>
        <w:t xml:space="preserve"> </w:t>
      </w:r>
      <w:r>
        <w:rPr>
          <w:bCs/>
          <w:b/>
        </w:rPr>
        <w:t xml:space="preserve">Uzbekistan Tashkent</w:t>
      </w:r>
      <w:r>
        <w:t xml:space="preserve">. The</w:t>
      </w:r>
      <w:r>
        <w:t xml:space="preserve"> </w:t>
      </w:r>
      <w:r>
        <w:rPr>
          <w:bCs/>
          <w:b/>
        </w:rPr>
        <w:t xml:space="preserve">Auditor</w:t>
      </w:r>
      <w:r>
        <w:t xml:space="preserve"> </w:t>
      </w:r>
      <w:r>
        <w:t xml:space="preserve">maintained professional skepticism and objectivity, even when dealing with long-standing client relationships common in the Tashkent business community.</w:t>
      </w:r>
    </w:p>
    <w:bookmarkEnd w:id="26"/>
    <w:bookmarkStart w:id="27" w:name="quality-control-and-documentation"/>
    <w:p>
      <w:pPr>
        <w:pStyle w:val="Heading2"/>
      </w:pPr>
      <w:r>
        <w:t xml:space="preserve">5. Quality Control and Documentation</w:t>
      </w:r>
    </w:p>
    <w:p>
      <w:pPr>
        <w:pStyle w:val="FirstParagraph"/>
      </w:pPr>
      <w:r>
        <w:t xml:space="preserve">The quality of audit documentation is a key indicator of audit quality. This</w:t>
      </w:r>
      <w:r>
        <w:t xml:space="preserve"> </w:t>
      </w:r>
      <w:r>
        <w:rPr>
          <w:bCs/>
          <w:b/>
        </w:rPr>
        <w:t xml:space="preserve">Peer Review Report</w:t>
      </w:r>
      <w:r>
        <w:t xml:space="preserve"> </w:t>
      </w:r>
      <w:r>
        <w:t xml:space="preserve">evaluates whether the</w:t>
      </w:r>
      <w:r>
        <w:t xml:space="preserve"> </w:t>
      </w:r>
      <w:r>
        <w:rPr>
          <w:bCs/>
          <w:b/>
        </w:rPr>
        <w:t xml:space="preserve">Auditor</w:t>
      </w:r>
      <w:r>
        <w:t xml:space="preserve">'s working papers provide sufficient and appropriate evidence to support the audit opinion.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Clarity of Audit Strategy</w:t>
            </w:r>
          </w:p>
        </w:tc>
        <w:tc>
          <w:tcPr/>
          <w:p>
            <w:pPr>
              <w:pStyle w:val="Compact"/>
              <w:jc w:val="left"/>
            </w:pPr>
            <w:r>
              <w:t xml:space="preserve">5</w:t>
            </w:r>
          </w:p>
        </w:tc>
        <w:tc>
          <w:tcPr/>
          <w:p>
            <w:pPr>
              <w:pStyle w:val="Compact"/>
              <w:jc w:val="left"/>
            </w:pPr>
            <w:r>
              <w:t xml:space="preserve">Excellent alignment with ISA standards and local Uzbek regulations.</w:t>
            </w:r>
          </w:p>
        </w:tc>
      </w:tr>
      <w:tr>
        <w:tc>
          <w:tcPr/>
          <w:p>
            <w:pPr>
              <w:pStyle w:val="Compact"/>
              <w:jc w:val="left"/>
            </w:pPr>
            <w:r>
              <w:t xml:space="preserve">Evidence Sufficiency</w:t>
            </w:r>
          </w:p>
        </w:tc>
        <w:tc>
          <w:tcPr/>
          <w:p>
            <w:pPr>
              <w:pStyle w:val="Compact"/>
              <w:jc w:val="left"/>
            </w:pPr>
            <w:r>
              <w:t xml:space="preserve">4</w:t>
            </w:r>
          </w:p>
        </w:tc>
        <w:tc>
          <w:tcPr/>
          <w:p>
            <w:pPr>
              <w:pStyle w:val="Compact"/>
              <w:jc w:val="left"/>
            </w:pPr>
            <w:r>
              <w:t xml:space="preserve">Strong evidence, though some third-party confirmations in Tashkent were delayed.</w:t>
            </w:r>
          </w:p>
        </w:tc>
      </w:tr>
      <w:tr>
        <w:tc>
          <w:tcPr/>
          <w:p>
            <w:pPr>
              <w:pStyle w:val="Compact"/>
              <w:jc w:val="left"/>
            </w:pPr>
            <w:r>
              <w:t xml:space="preserve">Compliance with Local Law</w:t>
            </w:r>
          </w:p>
        </w:tc>
        <w:tc>
          <w:tcPr/>
          <w:p>
            <w:pPr>
              <w:pStyle w:val="Compact"/>
              <w:jc w:val="left"/>
            </w:pPr>
            <w:r>
              <w:t xml:space="preserve">5</w:t>
            </w:r>
          </w:p>
        </w:tc>
        <w:tc>
          <w:tcPr/>
          <w:p>
            <w:pPr>
              <w:pStyle w:val="Compact"/>
              <w:jc w:val="left"/>
            </w:pPr>
            <w:r>
              <w:t xml:space="preserve">Full compliance with the Tax Code of Uzbekistan.</w:t>
            </w:r>
          </w:p>
        </w:tc>
      </w:tr>
      <w:tr>
        <w:tc>
          <w:tcPr/>
          <w:p>
            <w:pPr>
              <w:pStyle w:val="Compact"/>
              <w:jc w:val="left"/>
            </w:pPr>
            <w:r>
              <w:t xml:space="preserve">Reporting Quality</w:t>
            </w:r>
          </w:p>
        </w:tc>
        <w:tc>
          <w:tcPr/>
          <w:p>
            <w:pPr>
              <w:pStyle w:val="Compact"/>
              <w:jc w:val="left"/>
            </w:pPr>
            <w:r>
              <w:t xml:space="preserve">5</w:t>
            </w:r>
          </w:p>
        </w:tc>
        <w:tc>
          <w:tcPr/>
          <w:p>
            <w:pPr>
              <w:pStyle w:val="Compact"/>
              <w:jc w:val="left"/>
            </w:pPr>
            <w:r>
              <w:t xml:space="preserve">Clear, concise, and accurate audit reports.</w:t>
            </w:r>
          </w:p>
        </w:tc>
      </w:tr>
    </w:tbl>
    <w:p>
      <w:pPr>
        <w:pStyle w:val="BodyText"/>
      </w:pPr>
      <w:r>
        <w:t xml:space="preserve">Rating Scale: 1 = Unsatisfactory, 3 = Satisfactory, 5 = Excellent</w:t>
      </w:r>
    </w:p>
    <w:bookmarkEnd w:id="27"/>
    <w:bookmarkStart w:id="28" w:name="areas-for-improvement"/>
    <w:p>
      <w:pPr>
        <w:pStyle w:val="Heading2"/>
      </w:pPr>
      <w:r>
        <w:t xml:space="preserve">6. Areas for Improvement</w:t>
      </w:r>
    </w:p>
    <w:p>
      <w:pPr>
        <w:pStyle w:val="FirstParagraph"/>
      </w:pPr>
      <w:r>
        <w:t xml:space="preserve">While the overall performance is strong, this</w:t>
      </w:r>
      <w:r>
        <w:t xml:space="preserve"> </w:t>
      </w:r>
      <w:r>
        <w:rPr>
          <w:bCs/>
          <w:b/>
        </w:rPr>
        <w:t xml:space="preserve">Peer Review Report</w:t>
      </w:r>
      <w:r>
        <w:t xml:space="preserve"> </w:t>
      </w:r>
      <w:r>
        <w:t xml:space="preserve">identifies specific areas where the</w:t>
      </w:r>
      <w:r>
        <w:t xml:space="preserve"> </w:t>
      </w:r>
      <w:r>
        <w:rPr>
          <w:bCs/>
          <w:b/>
        </w:rPr>
        <w:t xml:space="preserve">Auditor</w:t>
      </w:r>
      <w:r>
        <w:t xml:space="preserve"> </w:t>
      </w:r>
      <w:r>
        <w:t xml:space="preserve">can enhance their practice in</w:t>
      </w:r>
      <w:r>
        <w:t xml:space="preserve"> </w:t>
      </w:r>
      <w:r>
        <w:rPr>
          <w:bCs/>
          <w:b/>
        </w:rPr>
        <w:t xml:space="preserve">Uzbekistan Tashkent</w:t>
      </w:r>
      <w:r>
        <w:t xml:space="preserve">:</w:t>
      </w:r>
    </w:p>
    <w:p>
      <w:pPr>
        <w:numPr>
          <w:ilvl w:val="0"/>
          <w:numId w:val="1001"/>
        </w:numPr>
        <w:pStyle w:val="Compact"/>
      </w:pPr>
      <w:r>
        <w:rPr>
          <w:bCs/>
          <w:b/>
        </w:rPr>
        <w:t xml:space="preserve">Regulatory Updates:</w:t>
      </w:r>
      <w:r>
        <w:t xml:space="preserve"> </w:t>
      </w:r>
      <w:r>
        <w:t xml:space="preserve">The</w:t>
      </w:r>
      <w:r>
        <w:t xml:space="preserve"> </w:t>
      </w:r>
      <w:r>
        <w:rPr>
          <w:bCs/>
          <w:b/>
        </w:rPr>
        <w:t xml:space="preserve">Auditor</w:t>
      </w:r>
      <w:r>
        <w:t xml:space="preserve"> </w:t>
      </w:r>
      <w:r>
        <w:t xml:space="preserve">should increase the frequency of training regarding new amendments to the Tax Code of Uzbekistan, as these changes frequently impact audit adjustments in Tashkent.</w:t>
      </w:r>
    </w:p>
    <w:p>
      <w:pPr>
        <w:numPr>
          <w:ilvl w:val="0"/>
          <w:numId w:val="1001"/>
        </w:numPr>
        <w:pStyle w:val="Compact"/>
      </w:pPr>
      <w:r>
        <w:rPr>
          <w:bCs/>
          <w:b/>
        </w:rPr>
        <w:t xml:space="preserve">Digitalization:</w:t>
      </w:r>
      <w:r>
        <w:t xml:space="preserve"> </w:t>
      </w:r>
      <w:r>
        <w:t xml:space="preserve">Given the push for digital transformation in Uzbekistan, the</w:t>
      </w:r>
      <w:r>
        <w:t xml:space="preserve"> </w:t>
      </w:r>
      <w:r>
        <w:rPr>
          <w:bCs/>
          <w:b/>
        </w:rPr>
        <w:t xml:space="preserve">Auditor</w:t>
      </w:r>
      <w:r>
        <w:t xml:space="preserve"> </w:t>
      </w:r>
      <w:r>
        <w:t xml:space="preserve">is encouraged to adopt more advanced data analytics tools to improve efficiency in large-scale audits.</w:t>
      </w:r>
    </w:p>
    <w:bookmarkEnd w:id="28"/>
    <w:bookmarkStart w:id="29"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Auditor</w:t>
      </w:r>
      <w:r>
        <w:t xml:space="preserve"> </w:t>
      </w:r>
      <w:r>
        <w:t xml:space="preserve">meets the high standards required for practice in</w:t>
      </w:r>
      <w:r>
        <w:t xml:space="preserve"> </w:t>
      </w:r>
      <w:r>
        <w:rPr>
          <w:bCs/>
          <w:b/>
        </w:rPr>
        <w:t xml:space="preserve">Uzbekistan Tashkent</w:t>
      </w:r>
      <w:r>
        <w:t xml:space="preserve">. The</w:t>
      </w:r>
      <w:r>
        <w:t xml:space="preserve"> </w:t>
      </w:r>
      <w:r>
        <w:rPr>
          <w:bCs/>
          <w:b/>
        </w:rPr>
        <w:t xml:space="preserve">Auditor</w:t>
      </w:r>
      <w:r>
        <w:t xml:space="preserve"> </w:t>
      </w:r>
      <w:r>
        <w:t xml:space="preserve">has demonstrated technical excellence, ethical integrity, and a commitment to quality assurance. The findings support the continued licensure and professional standing of the</w:t>
      </w:r>
      <w:r>
        <w:t xml:space="preserve"> </w:t>
      </w:r>
      <w:r>
        <w:rPr>
          <w:bCs/>
          <w:b/>
        </w:rPr>
        <w:t xml:space="preserve">Auditor</w:t>
      </w:r>
      <w:r>
        <w:t xml:space="preserve"> </w:t>
      </w:r>
      <w:r>
        <w:t xml:space="preserve">within the Republic of Uzbekistan. It is recommended that the</w:t>
      </w:r>
      <w:r>
        <w:t xml:space="preserve"> </w:t>
      </w:r>
      <w:r>
        <w:rPr>
          <w:bCs/>
          <w:b/>
        </w:rPr>
        <w:t xml:space="preserve">Auditor</w:t>
      </w:r>
      <w:r>
        <w:t xml:space="preserve"> </w:t>
      </w:r>
      <w:r>
        <w:t xml:space="preserve">implement the suggested improvements to further elevate the quality of audit services provided to the Tashkent business community.</w:t>
      </w:r>
    </w:p>
    <w:p>
      <w:pPr>
        <w:pStyle w:val="BodyText"/>
      </w:pPr>
      <w:r>
        <w:rPr>
          <w:bCs/>
          <w:b/>
        </w:rPr>
        <w:t xml:space="preserve">Prepared by:</w:t>
      </w:r>
      <w:r>
        <w:t xml:space="preserve"> </w:t>
      </w:r>
      <w:r>
        <w:t xml:space="preserve">Independent Peer Review Committee</w:t>
      </w:r>
      <w:r>
        <w:br/>
      </w:r>
      <w:r>
        <w:rPr>
          <w:bCs/>
          <w:b/>
        </w:rPr>
        <w:t xml:space="preserve">Location:</w:t>
      </w:r>
      <w:r>
        <w:t xml:space="preserve"> </w:t>
      </w:r>
      <w:r>
        <w:t xml:space="preserve">Uzbekistan Tashkent</w:t>
      </w:r>
      <w:r>
        <w:br/>
      </w:r>
      <w:r>
        <w:rPr>
          <w:iCs/>
          <w:i/>
        </w:rPr>
        <w:t xml:space="preserve">This document is confidential and intended solely for the use of the addressee.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Performance in Uzbekistan Tashkent</dc:title>
  <dc:creator/>
  <dc:language>en</dc:language>
  <cp:keywords/>
  <dcterms:created xsi:type="dcterms:W3CDTF">2026-10-10T07:07:46Z</dcterms:created>
  <dcterms:modified xsi:type="dcterms:W3CDTF">2026-10-10T07:07:46Z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