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Independent Auditor Performance</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performance, technical competence, and ethical adherence of the designated Auditor operating within the jurisdiction of Venezuela, specifically in the capital city of Caracas. The purpose of this review is to ensure that the auditing practices employed align with the International Standards on Auditing (ISA) and the specific regulatory requirements mandated by the Venezuelan Institute of Public Accountants (IVPC).</w:t>
      </w:r>
    </w:p>
    <w:p>
      <w:pPr>
        <w:pStyle w:val="BodyText"/>
      </w:pPr>
      <w:r>
        <w:t xml:space="preserve">Given the complex economic environment in Venezuela, characterized by high inflation rates, currency fluctuations, and evolving regulatory frameworks, the role of the Auditor in Caracas is of paramount importance. This report evaluates the Auditor's ability to navigate these challenges while maintaining the integrity and reliability of financial reporting. The scope of this peer review covers the audit cycle conducted during the fiscal year ending December 31, 2022, focusing on risk assessment, internal control evaluation, substantive testing, and reporting quality.</w:t>
      </w:r>
    </w:p>
    <w:bookmarkEnd w:id="21"/>
    <w:bookmarkStart w:id="22" w:name="X8643c130920d25abe294435a3c5001d6cfcba74"/>
    <w:p>
      <w:pPr>
        <w:pStyle w:val="Heading2"/>
      </w:pPr>
      <w:r>
        <w:t xml:space="preserve">2. Regulatory Compliance and Professional Standards</w:t>
      </w:r>
    </w:p>
    <w:p>
      <w:pPr>
        <w:pStyle w:val="FirstParagraph"/>
      </w:pPr>
      <w:r>
        <w:t xml:space="preserve">A critical component of this Peer Review Report is the examination of the Auditor's compliance with local and international standards. In Venezuela, the Auditor must adhere strictly to the regulations set forth by the Superintendence of Private Banks and the IVPC. The review confirms that the Auditor has demonstrated a robust understanding of the "Normas de Auditoría" (Auditing Standards) applicable in Caracas.</w:t>
      </w:r>
    </w:p>
    <w:p>
      <w:pPr>
        <w:pStyle w:val="BodyText"/>
      </w:pPr>
      <w:r>
        <w:t xml:space="preserve">Specifically, the Auditor was evaluated on their adherence to ethical principles regarding independence, objectivity, and professional skepticism. The review found that the Auditor maintained appropriate independence from the client entities, avoiding any conflicts of interest that could compromise the audit opinion. Furthermore, the documentation provided by the Auditor reflects a rigorous application of ISA standards, particularly in areas related to going concern assessments, which are vital in the current Venezuelan economic context.</w:t>
      </w:r>
    </w:p>
    <w:bookmarkEnd w:id="22"/>
    <w:bookmarkStart w:id="23" w:name="technical-competence-and-risk-assessment"/>
    <w:p>
      <w:pPr>
        <w:pStyle w:val="Heading2"/>
      </w:pPr>
      <w:r>
        <w:t xml:space="preserve">3. Technical Competence and Risk Assessment</w:t>
      </w:r>
    </w:p>
    <w:p>
      <w:pPr>
        <w:pStyle w:val="FirstParagraph"/>
      </w:pPr>
      <w:r>
        <w:t xml:space="preserve">The technical competence of the Auditor was assessed based on their ability to identify, assess, and respond to risks of material misstatement. In the dynamic market of Caracas, risks related to foreign currency translation, inventory valuation, and receivables collectability are significant. The Peer Review Report highlights that the Auditor successfully implemented advanced risk assessment procedures tailored to the specific industry sectors of the clients in Venezuela.</w:t>
      </w:r>
    </w:p>
    <w:p>
      <w:pPr>
        <w:pStyle w:val="BodyText"/>
      </w:pPr>
      <w:r>
        <w:t xml:space="preserve">The Auditor demonstrated proficiency in evaluating internal controls, identifying weaknesses in financial reporting processes, and recommending effective remedial actions. The review notes that the Auditor utilized data analytics tools to enhance the efficiency and effectiveness of substantive testing, ensuring that the audit evidence gathered was sufficient and appropriate. This technical rigor is essential for providing stakeholders with reliable financial information in an environment where economic volatility can obscure true financial performance.</w:t>
      </w:r>
    </w:p>
    <w:bookmarkEnd w:id="23"/>
    <w:bookmarkStart w:id="24" w:name="Xd921c0b5315730dfb0b40bd20e6ed59035c1bf9"/>
    <w:p>
      <w:pPr>
        <w:pStyle w:val="Heading2"/>
      </w:pPr>
      <w:r>
        <w:t xml:space="preserve">4. Quality of Audit Documentation and Reporting</w:t>
      </w:r>
    </w:p>
    <w:p>
      <w:pPr>
        <w:pStyle w:val="FirstParagraph"/>
      </w:pPr>
      <w:r>
        <w:t xml:space="preserve">The quality of audit documentation is a key indicator of the overall quality of the audit. This Peer Review Report examines the completeness, clarity, and organization of the working papers prepared by the Auditor. The review found that the documentation was comprehensive, providing a clear trail of the audit procedures performed, the evidence obtained, and the conclusions reached. This level of documentation is crucial for supporting the Auditor's opinion and facilitating future reviews.</w:t>
      </w:r>
    </w:p>
    <w:p>
      <w:pPr>
        <w:pStyle w:val="BodyText"/>
      </w:pPr>
      <w:r>
        <w:t xml:space="preserve">Additionally, the clarity and accuracy of the audit reports issued by the Auditor were evaluated. The reports were found to be well-structured, clearly communicating the audit findings, any identified material weaknesses, and the overall opinion on the financial statements. The Auditor effectively communicated complex accounting issues in a manner that was understandable to management and those charged with governance in Caracas.</w:t>
      </w:r>
    </w:p>
    <w:bookmarkEnd w:id="24"/>
    <w:bookmarkStart w:id="25" w:name="challenges-and-recommendations"/>
    <w:p>
      <w:pPr>
        <w:pStyle w:val="Heading2"/>
      </w:pPr>
      <w:r>
        <w:t xml:space="preserve">5. Challenges and Recommendations</w:t>
      </w:r>
    </w:p>
    <w:p>
      <w:pPr>
        <w:pStyle w:val="FirstParagraph"/>
      </w:pPr>
      <w:r>
        <w:t xml:space="preserve">While the overall performance of the Auditor was rated as satisfactory, this Peer Review Report identifies areas for improvement. One challenge noted is the need for continuous professional development to keep pace with the rapidly changing regulatory landscape in Venezuela. The Auditor is encouraged to engage in ongoing training on new accounting standards and regulatory updates issued by the IVPC.</w:t>
      </w:r>
    </w:p>
    <w:p>
      <w:pPr>
        <w:pStyle w:val="BodyText"/>
      </w:pPr>
      <w:r>
        <w:t xml:space="preserve">Furthermore, the report recommends enhancing the use of technology in audit procedures to further improve efficiency and accuracy. Given the increasing complexity of financial transactions in Caracas, leveraging advanced audit software can help the Auditor better manage risks and provide higher quality assurance services.</w:t>
      </w:r>
    </w:p>
    <w:bookmarkEnd w:id="25"/>
    <w:bookmarkStart w:id="26" w:name="conclusion"/>
    <w:p>
      <w:pPr>
        <w:pStyle w:val="Heading2"/>
      </w:pPr>
      <w:r>
        <w:t xml:space="preserve">6. Conclusion</w:t>
      </w:r>
    </w:p>
    <w:p>
      <w:pPr>
        <w:pStyle w:val="FirstParagraph"/>
      </w:pPr>
      <w:r>
        <w:t xml:space="preserve">In conclusion, this Peer Review Report affirms that the Auditor operating in Venezuela, Caracas, has demonstrated a high level of professional competence, ethical integrity, and technical proficiency. The Auditor's adherence to international and local standards, combined with their ability to navigate the unique economic challenges of the region, ensures the reliability and credibility of the financial information they audit. The recommendations provided in this report are intended to support the Auditor's continued growth and excellence in serving the financial community in Caracas.</w:t>
      </w:r>
    </w:p>
    <w:bookmarkEnd w:id="26"/>
    <w:p>
      <w:pPr>
        <w:pStyle w:val="BodyText"/>
      </w:pPr>
      <w:r>
        <w:rPr>
          <w:bCs/>
          <w:b/>
        </w:rPr>
        <w:t xml:space="preserve">Prepared by:</w:t>
      </w:r>
    </w:p>
    <w:p>
      <w:pPr>
        <w:pStyle w:val="BodyText"/>
      </w:pPr>
      <w:r>
        <w:t xml:space="preserve">Senior Peer Reviewer</w:t>
      </w:r>
    </w:p>
    <w:p>
      <w:pPr>
        <w:pStyle w:val="BodyText"/>
      </w:pPr>
      <w:r>
        <w:t xml:space="preserve">Venezuela Institute of Public Accountants (IVPC) - Caracas Chapter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Venezuela Caracas</dc:title>
  <dc:creator/>
  <dc:language>en</dc:language>
  <cp:keywords/>
  <dcterms:created xsi:type="dcterms:W3CDTF">2026-10-10T07:07:33Z</dcterms:created>
  <dcterms:modified xsi:type="dcterms:W3CDTF">2026-10-10T07:07:33Z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