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Audit</w:t>
      </w:r>
      <w:r>
        <w:t xml:space="preserve"> </w:t>
      </w:r>
      <w:r>
        <w:t xml:space="preserve">Firm</w:t>
      </w:r>
      <w:r>
        <w:t xml:space="preserve"> </w:t>
      </w:r>
      <w:r>
        <w:t xml:space="preserve">Compliance</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p>
    <w:bookmarkStart w:id="31" w:name="peer-review-report"/>
    <w:p>
      <w:pPr>
        <w:pStyle w:val="Heading1"/>
      </w:pPr>
      <w:r>
        <w:t xml:space="preserve">Peer Review Report</w:t>
      </w:r>
    </w:p>
    <w:p>
      <w:pPr>
        <w:pStyle w:val="FirstParagraph"/>
      </w:pPr>
      <w:r>
        <w:t xml:space="preserve">To:</w:t>
      </w:r>
      <w:r>
        <w:t xml:space="preserve"> </w:t>
      </w:r>
      <w:r>
        <w:t xml:space="preserve">The Board of Directors, [Auditor Firm Name]</w:t>
      </w:r>
    </w:p>
    <w:p>
      <w:pPr>
        <w:pStyle w:val="BodyText"/>
      </w:pPr>
      <w:r>
        <w:t xml:space="preserve">Address:</w:t>
      </w:r>
      <w:r>
        <w:t xml:space="preserve"> </w:t>
      </w:r>
      <w:r>
        <w:t xml:space="preserve">District 1, Ho Chi Minh City, Vietnam</w:t>
      </w:r>
    </w:p>
    <w:p>
      <w:pPr>
        <w:pStyle w:val="BodyText"/>
      </w:pPr>
      <w:r>
        <w:t xml:space="preserve">Date:</w:t>
      </w:r>
      <w:r>
        <w:t xml:space="preserve"> </w:t>
      </w:r>
      <w:r>
        <w:t xml:space="preserve">October 24, 2023</w:t>
      </w:r>
    </w:p>
    <w:p>
      <w:pPr>
        <w:pStyle w:val="BodyText"/>
      </w:pPr>
      <w:r>
        <w:t xml:space="preserve">From:</w:t>
      </w:r>
      <w:r>
        <w:t xml:space="preserve"> </w:t>
      </w:r>
      <w:r>
        <w:t xml:space="preserve">Independent Peer Review Team</w:t>
      </w:r>
    </w:p>
    <w:p>
      <w:pPr>
        <w:pStyle w:val="BodyText"/>
      </w:pPr>
      <w:r>
        <w:t xml:space="preserve">Reference No:</w:t>
      </w:r>
      <w:r>
        <w:t xml:space="preserve"> </w:t>
      </w:r>
      <w:r>
        <w:t xml:space="preserve">PR-HCMC-2023-089</w:t>
      </w:r>
    </w:p>
    <w:p>
      <w:pPr>
        <w:pStyle w:val="BodyText"/>
      </w:pPr>
      <w:r>
        <w:t xml:space="preserve">Subject:</w:t>
      </w:r>
      <w:r>
        <w:t xml:space="preserve"> </w:t>
      </w:r>
      <w:r>
        <w:t xml:space="preserve">Quality Control and Audit Compliance Review</w:t>
      </w:r>
    </w:p>
    <w:bookmarkStart w:id="20" w:name="introduction-and-scope"/>
    <w:p>
      <w:pPr>
        <w:pStyle w:val="Heading2"/>
      </w:pPr>
      <w:r>
        <w:t xml:space="preserve">1. Introduction and Scope</w:t>
      </w:r>
    </w:p>
    <w:p>
      <w:pPr>
        <w:pStyle w:val="FirstParagraph"/>
      </w:pPr>
      <w:r>
        <w:t xml:space="preserve">This Peer Review Report has been prepared to evaluate the quality control systems and audit practices of the subject Auditor firm, hereinafter referred to as "the Firm." The Firm is a prominent accounting entity operating within the dynamic economic landscape of Vietnam Ho Chi Minh City. As the financial capital of Vietnam, Ho Chi Minh City hosts a complex mix of domestic enterprises, joint ventures, and multinational corporations, necessitating a rigorous adherence to international and local auditing standards.</w:t>
      </w:r>
    </w:p>
    <w:p>
      <w:pPr>
        <w:pStyle w:val="BodyText"/>
      </w:pPr>
      <w:r>
        <w:t xml:space="preserve">The objective of this review is to determine whether the Firm’s quality control policies and procedures are suitably designed and effectively implemented to provide the Firm with reasonable assurance that the Firm and its personnel comply with professional standards and regulatory requirements. These requirements include the Vietnamese Auditing Standards (VAS), the International Standards on Auditing (ISA), and the regulations set forth by the Ministry of Finance of Vietnam.</w:t>
      </w:r>
    </w:p>
    <w:bookmarkEnd w:id="20"/>
    <w:bookmarkStart w:id="21" w:name="regulatory-framework-and-context"/>
    <w:p>
      <w:pPr>
        <w:pStyle w:val="Heading2"/>
      </w:pPr>
      <w:r>
        <w:t xml:space="preserve">2. Regulatory Framework and Context</w:t>
      </w:r>
    </w:p>
    <w:p>
      <w:pPr>
        <w:pStyle w:val="FirstParagraph"/>
      </w:pPr>
      <w:r>
        <w:t xml:space="preserve">The regulatory environment in Vietnam Ho Chi Minh City is characterized by strict oversight to ensure financial transparency and investor protection. The Firm operates under the supervision of the Ministry of Finance and the Vietnam Association of Accountants and Auditors (VAA). Consequently, this Peer Review Report assesses the Firm's compliance with Circular 133/2016/TT-BTC regarding the management of accounting and auditing activities.</w:t>
      </w:r>
    </w:p>
    <w:p>
      <w:pPr>
        <w:pStyle w:val="BodyText"/>
      </w:pPr>
      <w:r>
        <w:t xml:space="preserve">Given the high volume of foreign direct investment (FDI) in Ho Chi Minh City, the Firm frequently engages in audits for entities that must comply with both local tax laws and international reporting frameworks. The review specifically examined how the Auditor manages these dual compliance requirements, ensuring that audit opinions are robust, defensible, and aligned with the expectations of stakeholders in the region.</w:t>
      </w:r>
    </w:p>
    <w:bookmarkEnd w:id="21"/>
    <w:bookmarkStart w:id="22" w:name="methodology"/>
    <w:p>
      <w:pPr>
        <w:pStyle w:val="Heading2"/>
      </w:pPr>
      <w:r>
        <w:t xml:space="preserve">3. Methodology</w:t>
      </w:r>
    </w:p>
    <w:p>
      <w:pPr>
        <w:pStyle w:val="FirstParagraph"/>
      </w:pPr>
      <w:r>
        <w:t xml:space="preserve">The Peer Review was conducted in accordance with the International Standard on Quality Control (ISQC) 1. The review team employed a combination of the following procedures:</w:t>
      </w:r>
    </w:p>
    <w:p>
      <w:pPr>
        <w:numPr>
          <w:ilvl w:val="0"/>
          <w:numId w:val="1001"/>
        </w:numPr>
        <w:pStyle w:val="Compact"/>
      </w:pPr>
      <w:r>
        <w:rPr>
          <w:bCs/>
          <w:b/>
        </w:rPr>
        <w:t xml:space="preserve">Documentation Review:</w:t>
      </w:r>
      <w:r>
        <w:t xml:space="preserve"> </w:t>
      </w:r>
      <w:r>
        <w:t xml:space="preserve">Examination of the Firm’s quality control manuals, engagement letters, and internal policies.</w:t>
      </w:r>
    </w:p>
    <w:p>
      <w:pPr>
        <w:numPr>
          <w:ilvl w:val="0"/>
          <w:numId w:val="1001"/>
        </w:numPr>
        <w:pStyle w:val="Compact"/>
      </w:pPr>
      <w:r>
        <w:rPr>
          <w:bCs/>
          <w:b/>
        </w:rPr>
        <w:t xml:space="preserve">Interviews:</w:t>
      </w:r>
      <w:r>
        <w:t xml:space="preserve"> </w:t>
      </w:r>
      <w:r>
        <w:t xml:space="preserve">Discussions with the Managing Partner, the Quality Control Partner, and key Audit Managers based in the Ho Chi Minh City office.</w:t>
      </w:r>
    </w:p>
    <w:p>
      <w:pPr>
        <w:numPr>
          <w:ilvl w:val="0"/>
          <w:numId w:val="1001"/>
        </w:numPr>
        <w:pStyle w:val="Compact"/>
      </w:pPr>
      <w:r>
        <w:rPr>
          <w:bCs/>
          <w:b/>
        </w:rPr>
        <w:t xml:space="preserve">Sample Testing:</w:t>
      </w:r>
      <w:r>
        <w:t xml:space="preserve"> </w:t>
      </w:r>
      <w:r>
        <w:t xml:space="preserve">Detailed inspection of a representative sample of audit files from the fiscal year 2022, including audits of manufacturing, retail, and technology sectors prevalent in the city.</w:t>
      </w:r>
    </w:p>
    <w:p>
      <w:pPr>
        <w:numPr>
          <w:ilvl w:val="0"/>
          <w:numId w:val="1001"/>
        </w:numPr>
        <w:pStyle w:val="Compact"/>
      </w:pPr>
      <w:r>
        <w:rPr>
          <w:bCs/>
          <w:b/>
        </w:rPr>
        <w:t xml:space="preserve">Compliance Check:</w:t>
      </w:r>
      <w:r>
        <w:t xml:space="preserve"> </w:t>
      </w:r>
      <w:r>
        <w:t xml:space="preserve">Verification of the Auditor’s license status and continuing professional development (CPD) records of staff.</w:t>
      </w:r>
    </w:p>
    <w:bookmarkEnd w:id="22"/>
    <w:bookmarkStart w:id="28" w:name="findings-and-observations"/>
    <w:p>
      <w:pPr>
        <w:pStyle w:val="Heading2"/>
      </w:pPr>
      <w:r>
        <w:t xml:space="preserve">4. Findings and Observations</w:t>
      </w:r>
    </w:p>
    <w:bookmarkStart w:id="23" w:name="leadership-responsibilities-for-quality"/>
    <w:p>
      <w:pPr>
        <w:pStyle w:val="Heading3"/>
      </w:pPr>
      <w:r>
        <w:t xml:space="preserve">4.1 Leadership Responsibilities for Quality</w:t>
      </w:r>
    </w:p>
    <w:p>
      <w:pPr>
        <w:pStyle w:val="FirstParagraph"/>
      </w:pPr>
      <w:r>
        <w:t xml:space="preserve">The review found that the Firm’s leadership in Ho Chi Minh City demonstrates a strong commitment to quality. The Managing Partner has established a clear "tone at the top" that prioritizes audit quality over commercial considerations. The Firm has successfully implemented a culture where ethical behavior is rewarded, which is crucial for maintaining the integrity of the Auditor in a competitive market.</w:t>
      </w:r>
    </w:p>
    <w:bookmarkEnd w:id="23"/>
    <w:bookmarkStart w:id="24" w:name="relevant-ethical-requirements"/>
    <w:p>
      <w:pPr>
        <w:pStyle w:val="Heading3"/>
      </w:pPr>
      <w:r>
        <w:t xml:space="preserve">4.2 Relevant Ethical Requirements</w:t>
      </w:r>
    </w:p>
    <w:p>
      <w:pPr>
        <w:pStyle w:val="FirstParagraph"/>
      </w:pPr>
      <w:r>
        <w:t xml:space="preserve">The Firm’s policies regarding independence and conflict of interest are robust. The review team noted that the Firm maintains an up-to-date register of all financial interests and relationships of its partners and staff. This is particularly important in Vietnam Ho Chi Minh City, where business relationships can be closely knit. The Auditor demonstrated effective procedures for identifying and mitigating threats to independence, ensuring compliance with the Code of Ethics for Vietnamese Accountants and Auditors.</w:t>
      </w:r>
    </w:p>
    <w:bookmarkEnd w:id="24"/>
    <w:bookmarkStart w:id="25" w:name="Xed529ca1b04c137b45b32787744cc0dc2ea0025"/>
    <w:p>
      <w:pPr>
        <w:pStyle w:val="Heading3"/>
      </w:pPr>
      <w:r>
        <w:t xml:space="preserve">4.3 Acceptance and Continuance of Client Relationships</w:t>
      </w:r>
    </w:p>
    <w:p>
      <w:pPr>
        <w:pStyle w:val="FirstParagraph"/>
      </w:pPr>
      <w:r>
        <w:t xml:space="preserve">The Firm has established clear criteria for accepting new clients. The review observed that the Auditor conducts thorough due diligence on prospective clients to assess their integrity and financial stability. However, the review team noted a minor deficiency in the documentation of risk assessments for long-standing clients. While the risk is low, the Firm should enhance its documentation to ensure that the decision to continue an engagement is explicitly supported by current risk analysis.</w:t>
      </w:r>
    </w:p>
    <w:bookmarkEnd w:id="25"/>
    <w:bookmarkStart w:id="26" w:name="human-resources"/>
    <w:p>
      <w:pPr>
        <w:pStyle w:val="Heading3"/>
      </w:pPr>
      <w:r>
        <w:t xml:space="preserve">4.4 Human Resources</w:t>
      </w:r>
    </w:p>
    <w:p>
      <w:pPr>
        <w:pStyle w:val="FirstParagraph"/>
      </w:pPr>
      <w:r>
        <w:t xml:space="preserve">The Firm employs a highly qualified team of auditors in Ho Chi Minh City. The review confirmed that all audit partners hold the necessary licenses issued by the Ministry of Finance. The Firm provides regular training on updates to VAS and ISA. However, given the rapid growth of the Firm, there is a need to strengthen the onboarding process for junior auditors to ensure they are fully versed in the Firm’s specific quality control procedures before commencing fieldwork.</w:t>
      </w:r>
    </w:p>
    <w:bookmarkEnd w:id="26"/>
    <w:bookmarkStart w:id="27" w:name="engagement-performance"/>
    <w:p>
      <w:pPr>
        <w:pStyle w:val="Heading3"/>
      </w:pPr>
      <w:r>
        <w:t xml:space="preserve">4.5 Engagement Performance</w:t>
      </w:r>
    </w:p>
    <w:p>
      <w:pPr>
        <w:pStyle w:val="FirstParagraph"/>
      </w:pPr>
      <w:r>
        <w:t xml:space="preserve">The sample testing of audit files revealed that the Auditor generally performs work in accordance with professional standards. Audit evidence was sufficient and appropriate, and audit conclusions were well-supported. The review team specifically looked at the handling of complex revenue recognition issues common in the Ho Chi Minh City market and found the Auditor’s approach to be sound.</w:t>
      </w:r>
    </w:p>
    <w:p>
      <w:pPr>
        <w:pStyle w:val="BodyText"/>
      </w:pPr>
      <w:r>
        <w:t xml:space="preserve">One area for improvement was identified regarding the documentation of the review process. In some instances, the review notes by the Engagement Quality Control Reviewer (EQCR) were brief. The Firm should ensure that the EQCR documentation clearly evidences the significant judgments made and the conclusions reached.</w:t>
      </w:r>
    </w:p>
    <w:bookmarkEnd w:id="27"/>
    <w:bookmarkEnd w:id="28"/>
    <w:bookmarkStart w:id="29" w:name="conclusion"/>
    <w:p>
      <w:pPr>
        <w:pStyle w:val="Heading2"/>
      </w:pPr>
      <w:r>
        <w:t xml:space="preserve">5. Conclusion</w:t>
      </w:r>
    </w:p>
    <w:p>
      <w:pPr>
        <w:pStyle w:val="FirstParagraph"/>
      </w:pPr>
      <w:r>
        <w:t xml:space="preserve">Based on the procedures performed and evidence obtained, the Peer Review Team concludes that the quality control system of the Auditor Firm is suitably designed and effectively implemented. The Firm operates in compliance with the relevant professional standards and regulatory requirements applicable in Vietnam Ho Chi Minh City.</w:t>
      </w:r>
    </w:p>
    <w:p>
      <w:pPr>
        <w:pStyle w:val="BodyText"/>
      </w:pPr>
      <w:r>
        <w:t xml:space="preserve">The Firm has demonstrated a strong commitment to maintaining high audit quality, which is essential for sustaining trust in the financial reporting ecosystem of the region. The minor recommendations provided in this report are intended to further enhance the Firm’s already robust quality control framework.</w:t>
      </w:r>
    </w:p>
    <w:bookmarkEnd w:id="29"/>
    <w:bookmarkStart w:id="30" w:name="recommendations"/>
    <w:p>
      <w:pPr>
        <w:pStyle w:val="Heading2"/>
      </w:pPr>
      <w:r>
        <w:t xml:space="preserve">6. Recommendations</w:t>
      </w:r>
    </w:p>
    <w:p>
      <w:pPr>
        <w:pStyle w:val="FirstParagraph"/>
      </w:pPr>
      <w:r>
        <w:t xml:space="preserve">To further strengthen its quality control system, the Peer Review Team recommends the following:</w:t>
      </w:r>
    </w:p>
    <w:p>
      <w:pPr>
        <w:numPr>
          <w:ilvl w:val="0"/>
          <w:numId w:val="1002"/>
        </w:numPr>
        <w:pStyle w:val="Compact"/>
      </w:pPr>
      <w:r>
        <w:t xml:space="preserve">Enhance the documentation of risk assessments for client continuance decisions.</w:t>
      </w:r>
    </w:p>
    <w:p>
      <w:pPr>
        <w:numPr>
          <w:ilvl w:val="0"/>
          <w:numId w:val="1002"/>
        </w:numPr>
        <w:pStyle w:val="Compact"/>
      </w:pPr>
      <w:r>
        <w:t xml:space="preserve">Strengthen the onboarding and training program for new audit staff.</w:t>
      </w:r>
    </w:p>
    <w:p>
      <w:pPr>
        <w:numPr>
          <w:ilvl w:val="0"/>
          <w:numId w:val="1002"/>
        </w:numPr>
        <w:pStyle w:val="Compact"/>
      </w:pPr>
      <w:r>
        <w:t xml:space="preserve">Ensure that Engagement Quality Control Review (EQCR) documentation is comprehensive and clearly evidences the review of significant judgments.</w:t>
      </w:r>
    </w:p>
    <w:p>
      <w:pPr>
        <w:pStyle w:val="FirstParagraph"/>
      </w:pPr>
      <w:r>
        <w:rPr>
          <w:bCs/>
          <w:b/>
        </w:rPr>
        <w:t xml:space="preserve">Lead Reviewer</w:t>
      </w:r>
    </w:p>
    <w:p>
      <w:pPr>
        <w:pStyle w:val="BodyText"/>
      </w:pPr>
      <w:r>
        <w:t xml:space="preserve">Independent Peer Review Team</w:t>
      </w:r>
    </w:p>
    <w:p>
      <w:pPr>
        <w:pStyle w:val="BodyText"/>
      </w:pPr>
      <w:r>
        <w:rPr>
          <w:bCs/>
          <w:b/>
        </w:rPr>
        <w:t xml:space="preserve">Accepted by</w:t>
      </w:r>
    </w:p>
    <w:p>
      <w:pPr>
        <w:pStyle w:val="BodyText"/>
      </w:pPr>
      <w:r>
        <w:t xml:space="preserve">Managing Partner, [Auditor Firm Name]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Audit Firm Compliance in Ho Chi Minh City</dc:title>
  <dc:creator/>
  <dc:language>en</dc:language>
  <cp:keywords/>
  <dcterms:created xsi:type="dcterms:W3CDTF">2026-10-10T08:14:57Z</dcterms:created>
  <dcterms:modified xsi:type="dcterms:W3CDTF">2026-10-10T08:14:57Z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