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 Firm Practice</w:t>
      </w:r>
    </w:p>
    <w:p>
      <w:pPr>
        <w:pStyle w:val="BodyText"/>
      </w:pPr>
      <w:r>
        <w:rPr>
          <w:bCs/>
          <w:b/>
        </w:rPr>
        <w:t xml:space="preserve">Location:</w:t>
      </w:r>
      <w:r>
        <w:t xml:space="preserve"> </w:t>
      </w:r>
      <w:r>
        <w:t xml:space="preserve">Harare, Zimbabwe</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ZIM-HRE-PR-2023-001</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requirements set forth by the Institute of Chartered Accountants of Zimbabwe (ICAZ) and the relevant International Standards on Quality Control (ISQC 1). The primary objective of this review is to evaluate the quality control system of the Auditor firm located in the financial district of Zimbabwe Harare. The review assesses whether the firm’s systems and procedures are designed to provide reasonable assurance that the firm and its personnel comply with professional standards and regulatory requirements, and that the reports issued by the firm are appropriate in the circumstances.</w:t>
      </w:r>
    </w:p>
    <w:p>
      <w:pPr>
        <w:pStyle w:val="BodyText"/>
      </w:pPr>
      <w:r>
        <w:t xml:space="preserve">The scope of this Peer Review Report encompasses the period from January 1, 2023, to September 30, 2023. The review team conducted a comprehensive examination of the firm’s quality control policies, including leadership responsibilities, ethical requirements, acceptance and continuance of client relationships, human resources, engagement performance, and monitoring procedures. Special attention was paid to the firm's adherence to local Zimbabwean auditing standards and the specific economic and regulatory environment of Harare.</w:t>
      </w:r>
    </w:p>
    <w:bookmarkEnd w:id="21"/>
    <w:bookmarkStart w:id="22" w:name="X7653e17f0df1c8f984358be96460dcbe8d6e8db"/>
    <w:p>
      <w:pPr>
        <w:pStyle w:val="Heading2"/>
      </w:pPr>
      <w:r>
        <w:t xml:space="preserve">2. Regulatory Context and Professional Standards</w:t>
      </w:r>
    </w:p>
    <w:p>
      <w:pPr>
        <w:pStyle w:val="FirstParagraph"/>
      </w:pPr>
      <w:r>
        <w:t xml:space="preserve">The practice of auditing in Zimbabwe Harare is governed by a robust framework of legislation and professional standards. The Auditor under review is required to comply with the Public Accountants and Auditors Act [Chapter 27:12] and the Code of Ethics issued by ICAZ. Furthermore, the firm must adhere to International Standards on Auditing (ISAs) as adopted by Zimbabwe.</w:t>
      </w:r>
    </w:p>
    <w:p>
      <w:pPr>
        <w:pStyle w:val="BodyText"/>
      </w:pPr>
      <w:r>
        <w:t xml:space="preserve">Given the unique economic conditions in Zimbabwe, including currency volatility and complex regulatory changes, the Auditor must demonstrate a heightened level of professional skepticism and technical competence. This Peer Review Report evaluates how effectively the firm integrates these local contextual factors into its audit methodologies. The review confirms that the firm has established protocols to address risks associated with hyperinflation accounting and multi-currency transactions, which are prevalent among clients in Harare.</w:t>
      </w:r>
    </w:p>
    <w:bookmarkEnd w:id="22"/>
    <w:bookmarkStart w:id="29" w:name="evaluation-of-quality-control-systems"/>
    <w:p>
      <w:pPr>
        <w:pStyle w:val="Heading2"/>
      </w:pPr>
      <w:r>
        <w:t xml:space="preserve">3. Evaluation of Quality Control Systems</w:t>
      </w:r>
    </w:p>
    <w:bookmarkStart w:id="23" w:name="leadership-responsibilities-for-quality"/>
    <w:p>
      <w:pPr>
        <w:pStyle w:val="Heading3"/>
      </w:pPr>
      <w:r>
        <w:t xml:space="preserve">3.1 Leadership Responsibilities for Quality</w:t>
      </w:r>
    </w:p>
    <w:p>
      <w:pPr>
        <w:pStyle w:val="FirstParagraph"/>
      </w:pPr>
      <w:r>
        <w:t xml:space="preserve">The review found that the firm’s leadership in Zimbabwe Harare has established a clear culture of quality. The Chief Executive Officer and the Quality Control Partner have demonstrated a commitment to the principle that quality is paramount in audit engagements. There is evidence of regular communication regarding quality objectives and the importance of compliance with professional standards.</w:t>
      </w:r>
    </w:p>
    <w:bookmarkEnd w:id="23"/>
    <w:bookmarkStart w:id="24" w:name="ethical-requirements"/>
    <w:p>
      <w:pPr>
        <w:pStyle w:val="Heading3"/>
      </w:pPr>
      <w:r>
        <w:t xml:space="preserve">3.2 Ethical Requirements</w:t>
      </w:r>
    </w:p>
    <w:p>
      <w:pPr>
        <w:pStyle w:val="FirstParagraph"/>
      </w:pPr>
      <w:r>
        <w:t xml:space="preserve">The Auditor firm has implemented robust policies to ensure compliance with the ICAZ Code of Ethics. The review examined conflict of interest registers and independence declarations for all audit partners and staff. The firm’s procedures for identifying and addressing threats to independence, particularly in the close-knit business community of Harare, were found to be adequate. However, the review recommends strengthening the documentation of consultations regarding ethical dilemmas.</w:t>
      </w:r>
    </w:p>
    <w:bookmarkEnd w:id="24"/>
    <w:bookmarkStart w:id="25" w:name="Xed529ca1b04c137b45b32787744cc0dc2ea0025"/>
    <w:p>
      <w:pPr>
        <w:pStyle w:val="Heading3"/>
      </w:pPr>
      <w:r>
        <w:t xml:space="preserve">3.3 Acceptance and Continuance of Client Relationships</w:t>
      </w:r>
    </w:p>
    <w:p>
      <w:pPr>
        <w:pStyle w:val="FirstParagraph"/>
      </w:pPr>
      <w:r>
        <w:t xml:space="preserve">The firm’s procedures for accepting new clients and continuing existing relationships were reviewed. The Auditor firm conducts due diligence on potential clients to assess integrity and financial stability. The review noted that the firm appropriately declines engagements where the risk of material misstatement due to fraud is deemed unmanageable. This is particularly relevant in the current Zimbabwean economic climate, where financial reporting risks are elevated.</w:t>
      </w:r>
    </w:p>
    <w:bookmarkEnd w:id="25"/>
    <w:bookmarkStart w:id="26" w:name="human-resources"/>
    <w:p>
      <w:pPr>
        <w:pStyle w:val="Heading3"/>
      </w:pPr>
      <w:r>
        <w:t xml:space="preserve">3.4 Human Resources</w:t>
      </w:r>
    </w:p>
    <w:p>
      <w:pPr>
        <w:pStyle w:val="FirstParagraph"/>
      </w:pPr>
      <w:r>
        <w:t xml:space="preserve">The firm maintains a competent team of auditors in Zimbabwe Harare. The review assessed recruitment practices, training programs, and performance evaluation systems. The firm provides regular continuing professional development (CPD) opportunities, including training on updates to ISAs and local tax legislation. The review recommends enhancing training on digital audit tools to keep pace with technological advancements.</w:t>
      </w:r>
    </w:p>
    <w:bookmarkEnd w:id="26"/>
    <w:bookmarkStart w:id="27" w:name="engagement-performance"/>
    <w:p>
      <w:pPr>
        <w:pStyle w:val="Heading3"/>
      </w:pPr>
      <w:r>
        <w:t xml:space="preserve">3.5 Engagement Performance</w:t>
      </w:r>
    </w:p>
    <w:p>
      <w:pPr>
        <w:pStyle w:val="FirstParagraph"/>
      </w:pPr>
      <w:r>
        <w:t xml:space="preserve">The core of this Peer Review Report focuses on the performance of audit engagements. The review team selected a sample of audit files from the period under review and evaluated them against ISAs. The Auditor firm’s engagement partners demonstrated appropriate supervision and review of audit work. Documentation was generally clear, concise, and sufficient to support the audit opinions issued. The review noted effective risk assessment procedures tailored to the specific industries of the clients in Harare.</w:t>
      </w:r>
    </w:p>
    <w:bookmarkEnd w:id="27"/>
    <w:bookmarkStart w:id="28" w:name="monitoring"/>
    <w:p>
      <w:pPr>
        <w:pStyle w:val="Heading3"/>
      </w:pPr>
      <w:r>
        <w:t xml:space="preserve">3.6 Monitoring</w:t>
      </w:r>
    </w:p>
    <w:p>
      <w:pPr>
        <w:pStyle w:val="FirstParagraph"/>
      </w:pPr>
      <w:r>
        <w:t xml:space="preserve">The firm has a monitoring process in place to provide reasonable assurance that its quality control policies and procedures are relevant, adequate, and operating effectively. The review found that the firm conducts periodic internal inspections of completed engagements. Deficiencies identified are reported to the engagement partners and addressed promptly. The review recommends formalizing the tracking of remedial actions to ensure consistent improvement.</w:t>
      </w:r>
    </w:p>
    <w:bookmarkEnd w:id="28"/>
    <w:bookmarkEnd w:id="29"/>
    <w:bookmarkStart w:id="30" w:name="findings-and-recommendations"/>
    <w:p>
      <w:pPr>
        <w:pStyle w:val="Heading2"/>
      </w:pPr>
      <w:r>
        <w:t xml:space="preserve">4.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Observation</w:t>
            </w:r>
          </w:p>
        </w:tc>
        <w:tc>
          <w:tcPr/>
          <w:p>
            <w:pPr>
              <w:pStyle w:val="Compact"/>
              <w:jc w:val="left"/>
            </w:pPr>
            <w:r>
              <w:t xml:space="preserve">Recommendation</w:t>
            </w:r>
          </w:p>
        </w:tc>
      </w:tr>
      <w:tr>
        <w:tc>
          <w:tcPr/>
          <w:p>
            <w:pPr>
              <w:pStyle w:val="Compact"/>
              <w:jc w:val="left"/>
            </w:pPr>
            <w:r>
              <w:t xml:space="preserve">Ethics</w:t>
            </w:r>
          </w:p>
        </w:tc>
        <w:tc>
          <w:tcPr/>
          <w:p>
            <w:pPr>
              <w:pStyle w:val="Compact"/>
              <w:jc w:val="left"/>
            </w:pPr>
            <w:r>
              <w:t xml:space="preserve">Documentation of ethical consultations is inconsistent.</w:t>
            </w:r>
          </w:p>
        </w:tc>
        <w:tc>
          <w:tcPr/>
          <w:p>
            <w:pPr>
              <w:pStyle w:val="Compact"/>
              <w:jc w:val="left"/>
            </w:pPr>
            <w:r>
              <w:t xml:space="preserve">Implement a standardized template for recording ethical consultations and decisions.</w:t>
            </w:r>
          </w:p>
        </w:tc>
      </w:tr>
      <w:tr>
        <w:tc>
          <w:tcPr/>
          <w:p>
            <w:pPr>
              <w:pStyle w:val="Compact"/>
              <w:jc w:val="left"/>
            </w:pPr>
            <w:r>
              <w:t xml:space="preserve">Training</w:t>
            </w:r>
          </w:p>
        </w:tc>
        <w:tc>
          <w:tcPr/>
          <w:p>
            <w:pPr>
              <w:pStyle w:val="Compact"/>
              <w:jc w:val="left"/>
            </w:pPr>
            <w:r>
              <w:t xml:space="preserve">Limited training on advanced data analytics tools.</w:t>
            </w:r>
          </w:p>
        </w:tc>
        <w:tc>
          <w:tcPr/>
          <w:p>
            <w:pPr>
              <w:pStyle w:val="Compact"/>
              <w:jc w:val="left"/>
            </w:pPr>
            <w:r>
              <w:t xml:space="preserve">Develop a training program focused on digital audit technologies and data analytics.</w:t>
            </w:r>
          </w:p>
        </w:tc>
      </w:tr>
      <w:tr>
        <w:tc>
          <w:tcPr/>
          <w:p>
            <w:pPr>
              <w:pStyle w:val="Compact"/>
              <w:jc w:val="left"/>
            </w:pPr>
            <w:r>
              <w:t xml:space="preserve">Monitoring</w:t>
            </w:r>
          </w:p>
        </w:tc>
        <w:tc>
          <w:tcPr/>
          <w:p>
            <w:pPr>
              <w:pStyle w:val="Compact"/>
              <w:jc w:val="left"/>
            </w:pPr>
            <w:r>
              <w:t xml:space="preserve">Remedial actions for identified deficiencies are not systematically tracked.</w:t>
            </w:r>
          </w:p>
        </w:tc>
        <w:tc>
          <w:tcPr/>
          <w:p>
            <w:pPr>
              <w:pStyle w:val="Compact"/>
              <w:jc w:val="left"/>
            </w:pPr>
            <w:r>
              <w:t xml:space="preserve">Establish a centralized register to monitor the implementation of remedial actions.</w:t>
            </w:r>
          </w:p>
        </w:tc>
      </w:tr>
    </w:tbl>
    <w:bookmarkEnd w:id="30"/>
    <w:bookmarkStart w:id="31" w:name="conclusion"/>
    <w:p>
      <w:pPr>
        <w:pStyle w:val="Heading2"/>
      </w:pPr>
      <w:r>
        <w:t xml:space="preserve">5. Conclusion</w:t>
      </w:r>
    </w:p>
    <w:p>
      <w:pPr>
        <w:pStyle w:val="FirstParagraph"/>
      </w:pPr>
      <w:r>
        <w:t xml:space="preserve">Based on the procedures performed and evidence obtained, the Peer Review Report concludes that the Auditor firm in Zimbabwe Harare has designed and implemented a quality control system that is generally effective. The firm demonstrates a strong commitment to professional standards and ethical conduct. The identified areas for improvement are minor and do not indicate a systemic failure in the firm’s quality control framework. The review team is satisfied that the firm is capable of providing high-quality audit services to its clients in compliance with the requirements of ICAZ and international standards.</w:t>
      </w:r>
    </w:p>
    <w:p>
      <w:pPr>
        <w:pStyle w:val="BodyText"/>
      </w:pPr>
      <w:r>
        <w:t xml:space="preserve">It is recommended that the firm addresses the recommendations outlined in this report within the next twelve months. A follow-up review may be conducted to verify the implementation of these recommendations. This Peer Review Report serves as a testament to the firm’s dedication to maintaining the highest standards of audit quality in Zimbabwe Harare.</w:t>
      </w:r>
    </w:p>
    <w:bookmarkEnd w:id="31"/>
    <w:p>
      <w:pPr>
        <w:pStyle w:val="BodyText"/>
      </w:pPr>
      <w:r>
        <w:rPr>
          <w:bCs/>
          <w:b/>
        </w:rPr>
        <w:t xml:space="preserve">Prepared by:</w:t>
      </w:r>
    </w:p>
    <w:p>
      <w:pPr>
        <w:pStyle w:val="BodyText"/>
      </w:pPr>
      <w:r>
        <w:t xml:space="preserve">John Doe, CA(Z)</w:t>
      </w:r>
    </w:p>
    <w:p>
      <w:pPr>
        <w:pStyle w:val="BodyText"/>
      </w:pPr>
      <w:r>
        <w:t xml:space="preserve">Lead Peer Reviewer</w:t>
      </w:r>
    </w:p>
    <w:p>
      <w:pPr>
        <w:pStyle w:val="BodyText"/>
      </w:pPr>
      <w:r>
        <w:t xml:space="preserve">Institute of Chartered Accountants of Zimbabwe (ICAZ)</w:t>
      </w:r>
    </w:p>
    <w:p>
      <w:pPr>
        <w:pStyle w:val="BodyText"/>
      </w:pPr>
      <w:r>
        <w:br/>
      </w:r>
    </w:p>
    <w:p>
      <w:pPr>
        <w:pStyle w:val="BodyText"/>
      </w:pPr>
      <w:r>
        <w:rPr>
          <w:bCs/>
          <w:b/>
        </w:rPr>
        <w:t xml:space="preserve">Reviewed by:</w:t>
      </w:r>
    </w:p>
    <w:p>
      <w:pPr>
        <w:pStyle w:val="BodyText"/>
      </w:pPr>
      <w:r>
        <w:t xml:space="preserve">Jane Smith, CA(Z)</w:t>
      </w:r>
    </w:p>
    <w:p>
      <w:pPr>
        <w:pStyle w:val="BodyText"/>
      </w:pPr>
      <w:r>
        <w:t xml:space="preserve">Head of Peer Review</w:t>
      </w:r>
    </w:p>
    <w:p>
      <w:pPr>
        <w:pStyle w:val="BodyText"/>
      </w:pPr>
      <w:r>
        <w:t xml:space="preserve">Institute of Chartered Accountants of Zimbabwe (ICAZ)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in Zimbabwe Harare</dc:title>
  <dc:creator/>
  <dc:language>en</dc:language>
  <cp:keywords/>
  <dcterms:created xsi:type="dcterms:W3CDTF">2026-10-10T07:33:13Z</dcterms:created>
  <dcterms:modified xsi:type="dcterms:W3CDTF">2026-10-10T07:33:13Z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