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Islamabad, Pakistan</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Engineering Lead</w:t>
      </w:r>
    </w:p>
    <w:p>
      <w:pPr>
        <w:pStyle w:val="BodyText"/>
      </w:pPr>
      <w:r>
        <w:rPr>
          <w:bCs/>
          <w:b/>
        </w:rPr>
        <w:t xml:space="preserve">Department:</w:t>
      </w:r>
      <w:r>
        <w:t xml:space="preserve"> </w:t>
      </w:r>
      <w:r>
        <w:t xml:space="preserve">R&amp;D and Vehicle Dynamics</w:t>
      </w:r>
    </w:p>
    <w:p>
      <w:pPr>
        <w:pStyle w:val="BodyText"/>
      </w:pPr>
      <w:r>
        <w:rPr>
          <w:bCs/>
          <w:b/>
        </w:rPr>
        <w:t xml:space="preserve">Project Focus:</w:t>
      </w:r>
      <w:r>
        <w:t xml:space="preserve"> </w:t>
      </w:r>
      <w:r>
        <w:t xml:space="preserve">CNG Conversion Systems &amp; EV Integration</w:t>
      </w:r>
    </w:p>
    <w:p>
      <w:pPr>
        <w:pStyle w:val="BodyText"/>
      </w:pPr>
      <w:r>
        <w:rPr>
          <w:bCs/>
          <w:b/>
        </w:rPr>
        <w:t xml:space="preserve">Facility:</w:t>
      </w:r>
      <w:r>
        <w:t xml:space="preserve"> </w:t>
      </w:r>
      <w:r>
        <w:t xml:space="preserve">Industrial Estate, Islamabad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acumen, and collaborative contributions of the designated</w:t>
      </w:r>
      <w:r>
        <w:t xml:space="preserve"> </w:t>
      </w:r>
      <w:r>
        <w:rPr>
          <w:bCs/>
          <w:b/>
        </w:rPr>
        <w:t xml:space="preserve">Automotive Engineer</w:t>
      </w:r>
      <w:r>
        <w:t xml:space="preserve"> </w:t>
      </w:r>
      <w:r>
        <w:t xml:space="preserve">operating within the engineering hub in</w:t>
      </w:r>
      <w:r>
        <w:t xml:space="preserve"> </w:t>
      </w:r>
      <w:r>
        <w:rPr>
          <w:bCs/>
          <w:b/>
        </w:rPr>
        <w:t xml:space="preserve">Pakistan Islamabad</w:t>
      </w:r>
      <w:r>
        <w:t xml:space="preserve">. The review period covered critical phases of vehicle calibration, emissions testing, and the adaptation of legacy powertrains to meet the stringent environmental regulations currently being enforced by the Environmental Protection Agency (EPA) in Islamabad.</w:t>
      </w:r>
    </w:p>
    <w:p>
      <w:pPr>
        <w:pStyle w:val="BodyText"/>
      </w:pPr>
      <w:r>
        <w:t xml:space="preserve">The engineer has demonstrated a robust understanding of internal combustion engine dynamics and a growing proficiency in electric vehicle (EV) architectures. Given the unique market demands in Islamabad—where CNG usage is prevalent alongside a burgeoning interest in electric mobility—the engineer's ability to bridge traditional mechanical engineering with modern electronic control systems is highly valued. Overall, the performance is rated as "Exceeds Expectations" in technical execution and "Meets Expectations" in cross-functional communication.</w:t>
      </w:r>
    </w:p>
    <w:bookmarkEnd w:id="21"/>
    <w:bookmarkStart w:id="25" w:name="X3dac9112a22887633c3f70ce635a2865aecf81d"/>
    <w:p>
      <w:pPr>
        <w:pStyle w:val="Heading2"/>
      </w:pPr>
      <w:r>
        <w:t xml:space="preserve">2. Technical Competency and Engineering Standards</w:t>
      </w:r>
    </w:p>
    <w:p>
      <w:pPr>
        <w:pStyle w:val="FirstParagraph"/>
      </w:pPr>
      <w:r>
        <w:t xml:space="preserve">As an</w:t>
      </w:r>
      <w:r>
        <w:t xml:space="preserve"> </w:t>
      </w:r>
      <w:r>
        <w:rPr>
          <w:bCs/>
          <w:b/>
        </w:rPr>
        <w:t xml:space="preserve">Automotive Engineer</w:t>
      </w:r>
      <w:r>
        <w:t xml:space="preserve"> </w:t>
      </w:r>
      <w:r>
        <w:t xml:space="preserve">based in</w:t>
      </w:r>
      <w:r>
        <w:t xml:space="preserve"> </w:t>
      </w:r>
      <w:r>
        <w:rPr>
          <w:bCs/>
          <w:b/>
        </w:rPr>
        <w:t xml:space="preserve">Pakistan Islamabad</w:t>
      </w:r>
      <w:r>
        <w:t xml:space="preserve">, the subject is required to navigate complex regulatory landscapes and diverse vehicle platforms common in the region. The following technical areas were assessed:</w:t>
      </w:r>
    </w:p>
    <w:bookmarkStart w:id="22" w:name="powertrain-calibration-and-optimization"/>
    <w:p>
      <w:pPr>
        <w:pStyle w:val="Heading3"/>
      </w:pPr>
      <w:r>
        <w:t xml:space="preserve">2.1 Powertrain Calibration and Optimization</w:t>
      </w:r>
    </w:p>
    <w:p>
      <w:pPr>
        <w:pStyle w:val="FirstParagraph"/>
      </w:pPr>
      <w:r>
        <w:t xml:space="preserve">The engineer successfully led the recalibration of fuel injection maps for a fleet of commercial vehicles operating in the high-altitude conditions of Islamabad. This required precise adjustments to air-fuel ratios to compensate for lower oxygen density, ensuring optimal performance without compromising engine longevity. The use of advanced diagnostic tools (such as CAN bus analyzers) was executed with high proficiency.</w:t>
      </w:r>
    </w:p>
    <w:bookmarkEnd w:id="22"/>
    <w:bookmarkStart w:id="23" w:name="Xbbea8cdef1576f99d4db38227759538cd80b539"/>
    <w:p>
      <w:pPr>
        <w:pStyle w:val="Heading3"/>
      </w:pPr>
      <w:r>
        <w:t xml:space="preserve">2.2 Emissions Compliance and Environmental Standards</w:t>
      </w:r>
    </w:p>
    <w:p>
      <w:pPr>
        <w:pStyle w:val="FirstParagraph"/>
      </w:pPr>
      <w:r>
        <w:t xml:space="preserve">A critical aspect of this role in</w:t>
      </w:r>
      <w:r>
        <w:t xml:space="preserve"> </w:t>
      </w:r>
      <w:r>
        <w:rPr>
          <w:bCs/>
          <w:b/>
        </w:rPr>
        <w:t xml:space="preserve">Pakistan Islamabad</w:t>
      </w:r>
      <w:r>
        <w:t xml:space="preserve"> </w:t>
      </w:r>
      <w:r>
        <w:t xml:space="preserve">is adherence to Euro-4 and upcoming Euro-5 emission standards. The engineer conducted rigorous dynamometer testing to validate exhaust gas recirculation (EGR) systems. Their data analysis was thorough, identifying a recurring fault in the oxygen sensor feedback loop that was subsequently rectified, reducing NOx emissions by 12% in the test batch.</w:t>
      </w:r>
    </w:p>
    <w:bookmarkEnd w:id="23"/>
    <w:bookmarkStart w:id="24" w:name="electric-vehicle-ev-integration"/>
    <w:p>
      <w:pPr>
        <w:pStyle w:val="Heading3"/>
      </w:pPr>
      <w:r>
        <w:t xml:space="preserve">2.3 Electric Vehicle (EV) Integration</w:t>
      </w:r>
    </w:p>
    <w:p>
      <w:pPr>
        <w:pStyle w:val="FirstParagraph"/>
      </w:pPr>
      <w:r>
        <w:t xml:space="preserve">With the government of Pakistan pushing for green mobility, the engineer contributed to the integration of battery management systems (BMS) in hybrid prototypes. While the mechanical integration was flawless, the peer review notes that deeper knowledge of high-voltage safety protocols and battery thermal management is recommended for future projects.</w:t>
      </w:r>
    </w:p>
    <w:bookmarkEnd w:id="24"/>
    <w:bookmarkEnd w:id="25"/>
    <w:bookmarkStart w:id="26" w:name="Xf50b65649de06ea2ea396c484cd999604e7f337"/>
    <w:p>
      <w:pPr>
        <w:pStyle w:val="Heading2"/>
      </w:pPr>
      <w:r>
        <w:t xml:space="preserve">3. Project Management and Workflow Efficiency</w:t>
      </w:r>
    </w:p>
    <w:p>
      <w:pPr>
        <w:pStyle w:val="FirstParagraph"/>
      </w:pPr>
      <w:r>
        <w:t xml:space="preserve">The</w:t>
      </w:r>
      <w:r>
        <w:t xml:space="preserve"> </w:t>
      </w:r>
      <w:r>
        <w:rPr>
          <w:bCs/>
          <w:b/>
        </w:rPr>
        <w:t xml:space="preserve">Automotive Engineer</w:t>
      </w:r>
      <w:r>
        <w:t xml:space="preserve"> </w:t>
      </w:r>
      <w:r>
        <w:t xml:space="preserve">demonstrated strong project management skills, particularly in coordinating with local suppliers in the Rawalpindi-Islamabad industrial corridor.</w:t>
      </w:r>
    </w:p>
    <w:p>
      <w:pPr>
        <w:numPr>
          <w:ilvl w:val="0"/>
          <w:numId w:val="1001"/>
        </w:numPr>
        <w:pStyle w:val="Compact"/>
      </w:pPr>
      <w:r>
        <w:rPr>
          <w:bCs/>
          <w:b/>
        </w:rPr>
        <w:t xml:space="preserve">Schedule Adherence:</w:t>
      </w:r>
      <w:r>
        <w:t xml:space="preserve"> </w:t>
      </w:r>
      <w:r>
        <w:t xml:space="preserve">All major milestones for the CNG kit validation project were met on time.</w:t>
      </w:r>
    </w:p>
    <w:p>
      <w:pPr>
        <w:numPr>
          <w:ilvl w:val="0"/>
          <w:numId w:val="1001"/>
        </w:numPr>
        <w:pStyle w:val="Compact"/>
      </w:pPr>
      <w:r>
        <w:rPr>
          <w:bCs/>
          <w:b/>
        </w:rPr>
        <w:t xml:space="preserve">Resource Utilization:</w:t>
      </w:r>
      <w:r>
        <w:t xml:space="preserve"> </w:t>
      </w:r>
      <w:r>
        <w:t xml:space="preserve">Efficiently managed testing equipment and laboratory resources, minimizing downtime.</w:t>
      </w:r>
    </w:p>
    <w:p>
      <w:pPr>
        <w:numPr>
          <w:ilvl w:val="0"/>
          <w:numId w:val="1001"/>
        </w:numPr>
        <w:pStyle w:val="Compact"/>
      </w:pPr>
      <w:r>
        <w:rPr>
          <w:bCs/>
          <w:b/>
        </w:rPr>
        <w:t xml:space="preserve">Documentation:</w:t>
      </w:r>
      <w:r>
        <w:t xml:space="preserve"> </w:t>
      </w:r>
      <w:r>
        <w:t xml:space="preserve">Technical reports were detailed and compliant with ISO standards, facilitating smooth audits.</w:t>
      </w:r>
    </w:p>
    <w:bookmarkEnd w:id="26"/>
    <w:bookmarkStart w:id="27" w:name="collaboration-and-communication"/>
    <w:p>
      <w:pPr>
        <w:pStyle w:val="Heading2"/>
      </w:pPr>
      <w:r>
        <w:t xml:space="preserve">4. Collaboration and Communication</w:t>
      </w:r>
    </w:p>
    <w:p>
      <w:pPr>
        <w:pStyle w:val="FirstParagraph"/>
      </w:pPr>
      <w:r>
        <w:t xml:space="preserve">Effective communication is vital in a multidisciplinary environment. The engineer collaborated closely with the design team, quality assurance specialists, and external regulatory bodies in Islamabad.</w:t>
      </w:r>
    </w:p>
    <w:p>
      <w:pPr>
        <w:pStyle w:val="BodyText"/>
      </w:pPr>
      <w:r>
        <w:rPr>
          <w:bCs/>
          <w:b/>
        </w:rPr>
        <w:t xml:space="preserve">Strengths:</w:t>
      </w:r>
    </w:p>
    <w:p>
      <w:pPr>
        <w:numPr>
          <w:ilvl w:val="0"/>
          <w:numId w:val="1002"/>
        </w:numPr>
        <w:pStyle w:val="Compact"/>
      </w:pPr>
      <w:r>
        <w:t xml:space="preserve">Clear articulation of technical constraints to non-engineering stakeholders.</w:t>
      </w:r>
    </w:p>
    <w:p>
      <w:pPr>
        <w:numPr>
          <w:ilvl w:val="0"/>
          <w:numId w:val="1002"/>
        </w:numPr>
        <w:pStyle w:val="Compact"/>
      </w:pPr>
      <w:r>
        <w:t xml:space="preserve">Proactive engagement in weekly engineering review meetings.</w:t>
      </w:r>
    </w:p>
    <w:p>
      <w:pPr>
        <w:pStyle w:val="FirstParagraph"/>
      </w:pPr>
      <w:r>
        <w:rPr>
          <w:bCs/>
          <w:b/>
        </w:rPr>
        <w:t xml:space="preserve">Areas for Improvement:</w:t>
      </w:r>
    </w:p>
    <w:p>
      <w:pPr>
        <w:numPr>
          <w:ilvl w:val="0"/>
          <w:numId w:val="1003"/>
        </w:numPr>
        <w:pStyle w:val="Compact"/>
      </w:pPr>
      <w:r>
        <w:t xml:space="preserve">Enhance documentation of cross-departmental handoffs to reduce ambiguity.</w:t>
      </w:r>
    </w:p>
    <w:p>
      <w:pPr>
        <w:numPr>
          <w:ilvl w:val="0"/>
          <w:numId w:val="1003"/>
        </w:numPr>
        <w:pStyle w:val="Compact"/>
      </w:pPr>
      <w:r>
        <w:t xml:space="preserve">Provide more frequent updates to senior management regarding potential supply chain delays.</w:t>
      </w:r>
    </w:p>
    <w:bookmarkEnd w:id="27"/>
    <w:bookmarkStart w:id="28" w:name="performance-metrics-and-scoring"/>
    <w:p>
      <w:pPr>
        <w:pStyle w:val="Heading2"/>
      </w:pPr>
      <w:r>
        <w:t xml:space="preserve">5. Performance Metrics and Scoring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Competency Area</w:t>
            </w:r>
          </w:p>
        </w:tc>
        <w:tc>
          <w:tcPr/>
          <w:p>
            <w:pPr>
              <w:pStyle w:val="Compact"/>
              <w:jc w:val="left"/>
            </w:pPr>
            <w:r>
              <w:t xml:space="preserve">Weightage</w:t>
            </w:r>
          </w:p>
        </w:tc>
        <w:tc>
          <w:tcPr/>
          <w:p>
            <w:pPr>
              <w:pStyle w:val="Compact"/>
              <w:jc w:val="left"/>
            </w:pPr>
            <w:r>
              <w:t xml:space="preserve">Score (1-5)</w:t>
            </w:r>
          </w:p>
        </w:tc>
        <w:tc>
          <w:tcPr/>
          <w:p>
            <w:pPr>
              <w:pStyle w:val="Compact"/>
              <w:jc w:val="left"/>
            </w:pPr>
            <w:r>
              <w:t xml:space="preserve">Rating</w:t>
            </w:r>
          </w:p>
        </w:tc>
      </w:tr>
      <w:tr>
        <w:tc>
          <w:tcPr/>
          <w:p>
            <w:pPr>
              <w:pStyle w:val="Compact"/>
              <w:jc w:val="left"/>
            </w:pPr>
            <w:r>
              <w:t xml:space="preserve">Technical Knowledge (ICE &amp; EV)</w:t>
            </w:r>
          </w:p>
        </w:tc>
        <w:tc>
          <w:tcPr/>
          <w:p>
            <w:pPr>
              <w:pStyle w:val="Compact"/>
              <w:jc w:val="left"/>
            </w:pPr>
            <w:r>
              <w:t xml:space="preserve">30%</w:t>
            </w:r>
          </w:p>
        </w:tc>
        <w:tc>
          <w:tcPr/>
          <w:p>
            <w:pPr>
              <w:pStyle w:val="Compact"/>
              <w:jc w:val="left"/>
            </w:pPr>
            <w:r>
              <w:t xml:space="preserve">4.8</w:t>
            </w:r>
          </w:p>
        </w:tc>
        <w:tc>
          <w:tcPr/>
          <w:p>
            <w:pPr>
              <w:pStyle w:val="Compact"/>
              <w:jc w:val="left"/>
            </w:pPr>
            <w:r>
              <w:t xml:space="preserve">Excellent</w:t>
            </w:r>
          </w:p>
        </w:tc>
      </w:tr>
      <w:tr>
        <w:tc>
          <w:tcPr/>
          <w:p>
            <w:pPr>
              <w:pStyle w:val="Compact"/>
              <w:jc w:val="left"/>
            </w:pPr>
            <w:r>
              <w:t xml:space="preserve">Problem Solving &amp; Innovation</w:t>
            </w:r>
          </w:p>
        </w:tc>
        <w:tc>
          <w:tcPr/>
          <w:p>
            <w:pPr>
              <w:pStyle w:val="Compact"/>
              <w:jc w:val="left"/>
            </w:pPr>
            <w:r>
              <w:t xml:space="preserve">25%</w:t>
            </w:r>
          </w:p>
        </w:tc>
        <w:tc>
          <w:tcPr/>
          <w:p>
            <w:pPr>
              <w:pStyle w:val="Compact"/>
              <w:jc w:val="left"/>
            </w:pPr>
            <w:r>
              <w:t xml:space="preserve">4.5</w:t>
            </w:r>
          </w:p>
        </w:tc>
        <w:tc>
          <w:tcPr/>
          <w:p>
            <w:pPr>
              <w:pStyle w:val="Compact"/>
              <w:jc w:val="left"/>
            </w:pPr>
            <w:r>
              <w:t xml:space="preserve">Very Good</w:t>
            </w:r>
          </w:p>
        </w:tc>
      </w:tr>
      <w:tr>
        <w:tc>
          <w:tcPr/>
          <w:p>
            <w:pPr>
              <w:pStyle w:val="Compact"/>
              <w:jc w:val="left"/>
            </w:pPr>
            <w:r>
              <w:t xml:space="preserve">Regulatory Compliance (EPA Islamabad)</w:t>
            </w:r>
          </w:p>
        </w:tc>
        <w:tc>
          <w:tcPr/>
          <w:p>
            <w:pPr>
              <w:pStyle w:val="Compact"/>
              <w:jc w:val="left"/>
            </w:pPr>
            <w:r>
              <w:t xml:space="preserve">20%</w:t>
            </w:r>
          </w:p>
        </w:tc>
        <w:tc>
          <w:tcPr/>
          <w:p>
            <w:pPr>
              <w:pStyle w:val="Compact"/>
              <w:jc w:val="left"/>
            </w:pPr>
            <w:r>
              <w:t xml:space="preserve">4.7</w:t>
            </w:r>
          </w:p>
        </w:tc>
        <w:tc>
          <w:tcPr/>
          <w:p>
            <w:pPr>
              <w:pStyle w:val="Compact"/>
              <w:jc w:val="left"/>
            </w:pPr>
            <w:r>
              <w:t xml:space="preserve">Excellent</w:t>
            </w:r>
          </w:p>
        </w:tc>
      </w:tr>
      <w:tr>
        <w:tc>
          <w:tcPr/>
          <w:p>
            <w:pPr>
              <w:pStyle w:val="Compact"/>
              <w:jc w:val="left"/>
            </w:pPr>
            <w:r>
              <w:t xml:space="preserve">Team Collaboration</w:t>
            </w:r>
          </w:p>
        </w:tc>
        <w:tc>
          <w:tcPr/>
          <w:p>
            <w:pPr>
              <w:pStyle w:val="Compact"/>
              <w:jc w:val="left"/>
            </w:pPr>
            <w:r>
              <w:t xml:space="preserve">15%</w:t>
            </w:r>
          </w:p>
        </w:tc>
        <w:tc>
          <w:tcPr/>
          <w:p>
            <w:pPr>
              <w:pStyle w:val="Compact"/>
              <w:jc w:val="left"/>
            </w:pPr>
            <w:r>
              <w:t xml:space="preserve">3.8</w:t>
            </w:r>
          </w:p>
        </w:tc>
        <w:tc>
          <w:tcPr/>
          <w:p>
            <w:pPr>
              <w:pStyle w:val="Compact"/>
              <w:jc w:val="left"/>
            </w:pPr>
            <w:r>
              <w:t xml:space="preserve">Good</w:t>
            </w:r>
          </w:p>
        </w:tc>
      </w:tr>
      <w:tr>
        <w:tc>
          <w:tcPr/>
          <w:p>
            <w:pPr>
              <w:pStyle w:val="Compact"/>
              <w:jc w:val="left"/>
            </w:pPr>
            <w:r>
              <w:t xml:space="preserve">Project Management</w:t>
            </w:r>
          </w:p>
        </w:tc>
        <w:tc>
          <w:tcPr/>
          <w:p>
            <w:pPr>
              <w:pStyle w:val="Compact"/>
              <w:jc w:val="left"/>
            </w:pPr>
            <w:r>
              <w:t xml:space="preserve">10%</w:t>
            </w:r>
          </w:p>
        </w:tc>
        <w:tc>
          <w:tcPr/>
          <w:p>
            <w:pPr>
              <w:pStyle w:val="Compact"/>
              <w:jc w:val="left"/>
            </w:pPr>
            <w:r>
              <w:t xml:space="preserve">4.0</w:t>
            </w:r>
          </w:p>
        </w:tc>
        <w:tc>
          <w:tcPr/>
          <w:p>
            <w:pPr>
              <w:pStyle w:val="Compact"/>
              <w:jc w:val="left"/>
            </w:pPr>
            <w:r>
              <w:t xml:space="preserve">Good</w:t>
            </w:r>
          </w:p>
        </w:tc>
      </w:tr>
    </w:tbl>
    <w:bookmarkEnd w:id="28"/>
    <w:bookmarkStart w:id="29" w:name="recommendations-and-development-plan"/>
    <w:p>
      <w:pPr>
        <w:pStyle w:val="Heading2"/>
      </w:pPr>
      <w:r>
        <w:t xml:space="preserve">6. Recommendations and Development Plan</w:t>
      </w:r>
    </w:p>
    <w:p>
      <w:pPr>
        <w:pStyle w:val="FirstParagraph"/>
      </w:pPr>
      <w:r>
        <w:t xml:space="preserve">Based on this</w:t>
      </w:r>
      <w:r>
        <w:t xml:space="preserve"> </w:t>
      </w:r>
      <w:r>
        <w:rPr>
          <w:bCs/>
          <w:b/>
        </w:rPr>
        <w:t xml:space="preserve">Peer Review Report</w:t>
      </w:r>
      <w:r>
        <w:t xml:space="preserve">, the following actions are recommended for the</w:t>
      </w:r>
      <w:r>
        <w:t xml:space="preserve"> </w:t>
      </w:r>
      <w:r>
        <w:rPr>
          <w:bCs/>
          <w:b/>
        </w:rPr>
        <w:t xml:space="preserve">Automotive Engineer</w:t>
      </w:r>
      <w:r>
        <w:t xml:space="preserve"> </w:t>
      </w:r>
      <w:r>
        <w:t xml:space="preserve">to further enhance their contribution to the organization in</w:t>
      </w:r>
      <w:r>
        <w:t xml:space="preserve"> </w:t>
      </w:r>
      <w:r>
        <w:rPr>
          <w:bCs/>
          <w:b/>
        </w:rPr>
        <w:t xml:space="preserve">Pakistan Islamabad</w:t>
      </w:r>
      <w:r>
        <w:t xml:space="preserve">:</w:t>
      </w:r>
    </w:p>
    <w:p>
      <w:pPr>
        <w:numPr>
          <w:ilvl w:val="0"/>
          <w:numId w:val="1004"/>
        </w:numPr>
        <w:pStyle w:val="Compact"/>
      </w:pPr>
      <w:r>
        <w:rPr>
          <w:bCs/>
          <w:b/>
        </w:rPr>
        <w:t xml:space="preserve">Advanced EV Training:</w:t>
      </w:r>
      <w:r>
        <w:t xml:space="preserve"> </w:t>
      </w:r>
      <w:r>
        <w:t xml:space="preserve">Enroll in specialized certification courses regarding high-voltage systems and battery chemistry to support the company's transition toward electric mobility.</w:t>
      </w:r>
    </w:p>
    <w:p>
      <w:pPr>
        <w:numPr>
          <w:ilvl w:val="0"/>
          <w:numId w:val="1004"/>
        </w:numPr>
        <w:pStyle w:val="Compact"/>
      </w:pPr>
      <w:r>
        <w:rPr>
          <w:bCs/>
          <w:b/>
        </w:rPr>
        <w:t xml:space="preserve">Leadership Development:</w:t>
      </w:r>
      <w:r>
        <w:t xml:space="preserve"> </w:t>
      </w:r>
      <w:r>
        <w:t xml:space="preserve">Take on a mentorship role for junior engineers to improve leadership and communication skills.</w:t>
      </w:r>
    </w:p>
    <w:p>
      <w:pPr>
        <w:numPr>
          <w:ilvl w:val="0"/>
          <w:numId w:val="1004"/>
        </w:numPr>
        <w:pStyle w:val="Compact"/>
      </w:pPr>
      <w:r>
        <w:rPr>
          <w:bCs/>
          <w:b/>
        </w:rPr>
        <w:t xml:space="preserve">Regulatory Engagement:</w:t>
      </w:r>
      <w:r>
        <w:t xml:space="preserve"> </w:t>
      </w:r>
      <w:r>
        <w:t xml:space="preserve">Actively participate in industry forums in Islamabad to stay ahead of evolving automotive policies and emission standards.</w:t>
      </w:r>
    </w:p>
    <w:bookmarkEnd w:id="29"/>
    <w:bookmarkStart w:id="30" w:name="conclusion"/>
    <w:p>
      <w:pPr>
        <w:pStyle w:val="Heading2"/>
      </w:pPr>
      <w:r>
        <w:t xml:space="preserve">7. Conclusion</w:t>
      </w:r>
    </w:p>
    <w:p>
      <w:pPr>
        <w:pStyle w:val="FirstParagraph"/>
      </w:pPr>
      <w:r>
        <w:t xml:space="preserve">The</w:t>
      </w:r>
      <w:r>
        <w:t xml:space="preserve"> </w:t>
      </w:r>
      <w:r>
        <w:rPr>
          <w:bCs/>
          <w:b/>
        </w:rPr>
        <w:t xml:space="preserve">Automotive Engineer</w:t>
      </w:r>
      <w:r>
        <w:t xml:space="preserve"> </w:t>
      </w:r>
      <w:r>
        <w:t xml:space="preserve">has proven to be a valuable asset to the engineering team in</w:t>
      </w:r>
      <w:r>
        <w:t xml:space="preserve"> </w:t>
      </w:r>
      <w:r>
        <w:rPr>
          <w:bCs/>
          <w:b/>
        </w:rPr>
        <w:t xml:space="preserve">Pakistan Islamabad</w:t>
      </w:r>
      <w:r>
        <w:t xml:space="preserve">. Their technical expertise, particularly in adapting vehicles to local environmental and operational conditions, is commendable. With focused development in EV technologies and leadership, they are well-positioned for increased responsibility within the organization. This</w:t>
      </w:r>
      <w:r>
        <w:t xml:space="preserve"> </w:t>
      </w:r>
      <w:r>
        <w:rPr>
          <w:bCs/>
          <w:b/>
        </w:rPr>
        <w:t xml:space="preserve">Peer Review Report</w:t>
      </w:r>
      <w:r>
        <w:t xml:space="preserve"> </w:t>
      </w:r>
      <w:r>
        <w:t xml:space="preserve">serves as a formal acknowledgment of their achievements and a roadmap for future growth.</w:t>
      </w:r>
    </w:p>
    <w:p>
      <w:pPr>
        <w:pStyle w:val="BodyText"/>
      </w:pPr>
      <w:r>
        <w:rPr>
          <w:bCs/>
          <w:b/>
        </w:rPr>
        <w:t xml:space="preserve">Reviewed By:</w:t>
      </w:r>
    </w:p>
    <w:p>
      <w:pPr>
        <w:pStyle w:val="BodyText"/>
      </w:pPr>
      <w:r>
        <w:t xml:space="preserve">__________________________</w:t>
      </w:r>
    </w:p>
    <w:p>
      <w:pPr>
        <w:pStyle w:val="BodyText"/>
      </w:pPr>
      <w:r>
        <w:t xml:space="preserve">Senior Engineering Manager</w:t>
      </w:r>
    </w:p>
    <w:p>
      <w:pPr>
        <w:pStyle w:val="BodyText"/>
      </w:pPr>
      <w:r>
        <w:rPr>
          <w:bCs/>
          <w:b/>
        </w:rPr>
        <w:t xml:space="preserve">Employee Acknowledgment:</w:t>
      </w:r>
    </w:p>
    <w:p>
      <w:pPr>
        <w:pStyle w:val="BodyText"/>
      </w:pPr>
      <w:r>
        <w:t xml:space="preserve">__________________________</w:t>
      </w:r>
    </w:p>
    <w:p>
      <w:pPr>
        <w:pStyle w:val="BodyText"/>
      </w:pPr>
      <w:r>
        <w:t xml:space="preserve">Date: ______________</w:t>
      </w:r>
    </w:p>
    <w:p>
      <w:pPr>
        <w:pStyle w:val="BodyText"/>
      </w:pPr>
      <w:r>
        <w:t xml:space="preserve">© 2023 Engineering Department. Confidential Document. Prepared for internal use in Islamabad, Pakistan.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Islamabad, Pakistan</dc:title>
  <dc:creator/>
  <dc:language>en</dc:language>
  <cp:keywords/>
  <dcterms:created xsi:type="dcterms:W3CDTF">2026-10-10T04:57:19Z</dcterms:created>
  <dcterms:modified xsi:type="dcterms:W3CDTF">2026-10-10T04:57:19Z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