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Iran</w:t>
      </w:r>
      <w:r>
        <w:t xml:space="preserve"> </w:t>
      </w:r>
      <w:r>
        <w:t xml:space="preserve">Tehran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Baker</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Oversight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performance, technical capabilities, and operational efficiency of Baker within the context of the ongoing infrastructure projects in Iran Tehran. The primary objective of this review is to provide an objective, data-driven assessment of Baker’s contributions to the regional development initiatives. The findings presented herein are based on a comprehensive analysis of project deliverables, stakeholder feedback, and adherence to international engineering standards adapted for the local environment of Iran Tehran.</w:t>
      </w:r>
    </w:p>
    <w:p>
      <w:pPr>
        <w:pStyle w:val="BodyText"/>
      </w:pPr>
      <w:r>
        <w:t xml:space="preserve">Overall, the review indicates that Baker has demonstrated a high level of competence and adaptability. However, specific areas regarding logistical coordination and cultural integration within the Iran Tehran market require strategic adjustments to ensure long-term project success.</w:t>
      </w:r>
    </w:p>
    <w:bookmarkEnd w:id="21"/>
    <w:bookmarkStart w:id="22" w:name="introduction-and-scope"/>
    <w:p>
      <w:pPr>
        <w:pStyle w:val="Heading2"/>
      </w:pPr>
      <w:r>
        <w:t xml:space="preserve">2. Introduction and Scope</w:t>
      </w:r>
    </w:p>
    <w:p>
      <w:pPr>
        <w:pStyle w:val="FirstParagraph"/>
      </w:pPr>
      <w:r>
        <w:t xml:space="preserve">The scope of this Peer Review Report encompasses Baker’s activities over the last fiscal quarter. The evaluation focuses on three critical pillars: technical execution, regulatory compliance within Iran Tehran, and team leadership. Given the unique geopolitical and economic landscape of Iran Tehran, the review places significant emphasis on Baker’s ability to navigate local regulations while maintaining global quality standards.</w:t>
      </w:r>
    </w:p>
    <w:p>
      <w:pPr>
        <w:pStyle w:val="BodyText"/>
      </w:pPr>
      <w:r>
        <w:t xml:space="preserve">The methodology involved interviews with local stakeholders in Iran Tehran, a review of technical documentation submitted by Baker, and an on-site inspection of key project milestones. This report aims to serve as a foundational document for future strategic planning and performance improvement.</w:t>
      </w:r>
    </w:p>
    <w:bookmarkEnd w:id="22"/>
    <w:bookmarkStart w:id="23" w:name="technical-performance-and-methodology"/>
    <w:p>
      <w:pPr>
        <w:pStyle w:val="Heading2"/>
      </w:pPr>
      <w:r>
        <w:t xml:space="preserve">3. Technical Performance and Methodology</w:t>
      </w:r>
    </w:p>
    <w:p>
      <w:pPr>
        <w:pStyle w:val="FirstParagraph"/>
      </w:pPr>
      <w:r>
        <w:t xml:space="preserve">Baker’s technical approach to the projects in Iran Tehran has been largely commendable. The engineering solutions proposed by Baker show a deep understanding of the specific geological and climatic challenges present in the Tehran region. For instance, the structural integrity plans developed by Baker account for the seismic activity risks inherent to Iran Tehran, demonstrating a proactive rather than reactive engineering mindset.</w:t>
      </w:r>
    </w:p>
    <w:p>
      <w:pPr>
        <w:pStyle w:val="BodyText"/>
      </w:pPr>
      <w:r>
        <w:t xml:space="preserve">Furthermore, Baker has successfully integrated modern construction technologies with local material availability. This hybrid approach has not only reduced costs but also minimized supply chain disruptions, a common issue in the Iran Tehran market. The precision in Baker’s technical drawings and the clarity of the implementation guidelines have facilitated smoother communication between international consultants and local contractors.</w:t>
      </w:r>
    </w:p>
    <w:bookmarkEnd w:id="23"/>
    <w:bookmarkStart w:id="24" w:name="X3e92e39901dce25ebb0c82be23c2278014d3fe0"/>
    <w:p>
      <w:pPr>
        <w:pStyle w:val="Heading2"/>
      </w:pPr>
      <w:r>
        <w:t xml:space="preserve">4. Regulatory Compliance and Local Adaptation</w:t>
      </w:r>
    </w:p>
    <w:p>
      <w:pPr>
        <w:pStyle w:val="FirstParagraph"/>
      </w:pPr>
      <w:r>
        <w:t xml:space="preserve">Operating in Iran Tehran requires a nuanced understanding of local building codes, environmental regulations, and bureaucratic procedures. This Peer Review Report highlights Baker’s efforts in aligning project workflows with these requirements. Baker has shown a willingness to engage with local authorities in Iran Tehran, ensuring that all permits and approvals are secured in a timely manner.</w:t>
      </w:r>
    </w:p>
    <w:p>
      <w:pPr>
        <w:pStyle w:val="BodyText"/>
      </w:pPr>
      <w:r>
        <w:t xml:space="preserve">However, the review notes that there were minor delays in the initial phases due to a lack of familiarity with specific municipal zoning laws in certain districts of Iran Tehran. While these issues were eventually resolved, it is recommended that Baker invest in more localized legal and regulatory training to prevent similar bottlenecks in future projects.</w:t>
      </w:r>
    </w:p>
    <w:bookmarkEnd w:id="24"/>
    <w:bookmarkStart w:id="25" w:name="stakeholder-engagement-and-communication"/>
    <w:p>
      <w:pPr>
        <w:pStyle w:val="Heading2"/>
      </w:pPr>
      <w:r>
        <w:t xml:space="preserve">5. Stakeholder Engagement and Communication</w:t>
      </w:r>
    </w:p>
    <w:p>
      <w:pPr>
        <w:pStyle w:val="FirstParagraph"/>
      </w:pPr>
      <w:r>
        <w:t xml:space="preserve">Effective communication is vital for success in Iran Tehran, where business relationships are often built on trust and personal interaction. Baker has made significant strides in building rapport with local partners and community leaders. The regular town hall meetings organized by Baker in Iran Tehran have been instrumental in addressing community concerns and fostering a positive public image for the project.</w:t>
      </w:r>
    </w:p>
    <w:p>
      <w:pPr>
        <w:pStyle w:val="BodyText"/>
      </w:pPr>
      <w:r>
        <w:t xml:space="preserve">Nevertheless, this Peer Review Report identifies a need for improved internal communication within Baker’s team. There were instances where information silos led to misalignment between the design team and the on-site execution crew. Enhancing communication protocols will be crucial for maintaining the high standards expected in the Iran Tehran market.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Baker:</w:t>
      </w:r>
    </w:p>
    <w:p>
      <w:pPr>
        <w:numPr>
          <w:ilvl w:val="0"/>
          <w:numId w:val="1001"/>
        </w:numPr>
        <w:pStyle w:val="Compact"/>
      </w:pPr>
      <w:r>
        <w:rPr>
          <w:bCs/>
          <w:b/>
        </w:rPr>
        <w:t xml:space="preserve">Enhance Local Regulatory Training:</w:t>
      </w:r>
      <w:r>
        <w:t xml:space="preserve"> </w:t>
      </w:r>
      <w:r>
        <w:t xml:space="preserve">Baker should conduct regular workshops on Iran Tehran’s specific legal and regulatory frameworks to ensure full compliance and avoid delays.</w:t>
      </w:r>
    </w:p>
    <w:p>
      <w:pPr>
        <w:numPr>
          <w:ilvl w:val="0"/>
          <w:numId w:val="1001"/>
        </w:numPr>
        <w:pStyle w:val="Compact"/>
      </w:pPr>
      <w:r>
        <w:rPr>
          <w:bCs/>
          <w:b/>
        </w:rPr>
        <w:t xml:space="preserve">Strengthen Internal Communication:</w:t>
      </w:r>
      <w:r>
        <w:t xml:space="preserve"> </w:t>
      </w:r>
      <w:r>
        <w:t xml:space="preserve">Implementing a more robust communication platform will help bridge the gap between design and execution teams, ensuring that all stakeholders are aligned.</w:t>
      </w:r>
    </w:p>
    <w:p>
      <w:pPr>
        <w:numPr>
          <w:ilvl w:val="0"/>
          <w:numId w:val="1001"/>
        </w:numPr>
        <w:pStyle w:val="Compact"/>
      </w:pPr>
      <w:r>
        <w:rPr>
          <w:bCs/>
          <w:b/>
        </w:rPr>
        <w:t xml:space="preserve">Expand Community Engagement:</w:t>
      </w:r>
      <w:r>
        <w:t xml:space="preserve"> </w:t>
      </w:r>
      <w:r>
        <w:t xml:space="preserve">Continue and expand the community engagement initiatives in Iran Tehran to build long-term trust and support for future projects.</w:t>
      </w:r>
    </w:p>
    <w:p>
      <w:pPr>
        <w:numPr>
          <w:ilvl w:val="0"/>
          <w:numId w:val="1001"/>
        </w:numPr>
        <w:pStyle w:val="Compact"/>
      </w:pPr>
      <w:r>
        <w:rPr>
          <w:bCs/>
          <w:b/>
        </w:rPr>
        <w:t xml:space="preserve">Optimize Supply Chain Logistics:</w:t>
      </w:r>
      <w:r>
        <w:t xml:space="preserve"> </w:t>
      </w:r>
      <w:r>
        <w:t xml:space="preserve">Further refine the supply chain strategy to leverage local resources in Iran Tehran, reducing dependency on international imports and mitigating potential disruptions.</w:t>
      </w:r>
    </w:p>
    <w:bookmarkEnd w:id="26"/>
    <w:bookmarkStart w:id="27" w:name="conclusion"/>
    <w:p>
      <w:pPr>
        <w:pStyle w:val="Heading2"/>
      </w:pPr>
      <w:r>
        <w:t xml:space="preserve">7. Conclusion</w:t>
      </w:r>
    </w:p>
    <w:p>
      <w:pPr>
        <w:pStyle w:val="FirstParagraph"/>
      </w:pPr>
      <w:r>
        <w:t xml:space="preserve">In conclusion, this Peer Review Report affirms that Baker is a capable and dedicated professional whose contributions to the projects in Iran Tehran are significant. While there are areas for improvement, particularly in regulatory navigation and internal communication, Baker’s technical expertise and commitment to quality are evident. By addressing the recommendations outlined in this report, Baker is well-positioned to continue delivering successful outcomes in the dynamic and challenging environment of Iran Tehran.</w:t>
      </w:r>
    </w:p>
    <w:bookmarkEnd w:id="27"/>
    <w:p>
      <w:pPr>
        <w:pStyle w:val="BodyText"/>
      </w:pPr>
      <w:r>
        <w:rPr>
          <w:bCs/>
          <w:b/>
        </w:rPr>
        <w:t xml:space="preserve">Prepared by:</w:t>
      </w:r>
      <w:r>
        <w:t xml:space="preserve"> </w:t>
      </w:r>
      <w:r>
        <w:t xml:space="preserve">Technical Oversight Committee</w:t>
      </w:r>
    </w:p>
    <w:p>
      <w:pPr>
        <w:pStyle w:val="BodyText"/>
      </w:pPr>
      <w:r>
        <w:rPr>
          <w:bCs/>
          <w:b/>
        </w:rPr>
        <w:t xml:space="preserve">For:</w:t>
      </w:r>
      <w:r>
        <w:t xml:space="preserve"> </w:t>
      </w:r>
      <w:r>
        <w:t xml:space="preserve">Project Management Office,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Iran Tehran</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