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Evaluation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capabilities, technical proficiency, and strategic alignment of Baker within the context of the Sudan Khartoum region. The review aims to provide a comprehensive assessment of Baker’s contributions to local infrastructure, community development, and economic stability. Given the unique socio-economic landscape of Sudan Khartoum, this evaluation focuses on Baker’s ability to navigate complex logistical challenges, adhere to international standards, and foster sustainable growth. The findings indicate that Baker demonstrates a high level of competence, though specific areas require attention to ensure long-term success in this dynamic environment.</w:t>
      </w:r>
    </w:p>
    <w:bookmarkEnd w:id="21"/>
    <w:bookmarkStart w:id="22" w:name="introduction-and-context"/>
    <w:p>
      <w:pPr>
        <w:pStyle w:val="Heading2"/>
      </w:pPr>
      <w:r>
        <w:t xml:space="preserve">2. Introduction and Context</w:t>
      </w:r>
    </w:p>
    <w:p>
      <w:pPr>
        <w:pStyle w:val="FirstParagraph"/>
      </w:pPr>
      <w:r>
        <w:t xml:space="preserve">Sudan Khartoum serves as a critical hub for trade, culture, and governance in the region. The city’s strategic location along the confluence of the Blue and White Nile rivers makes it a focal point for development initiatives. Baker, as a key stakeholder in this region, has been tasked with implementing projects that address both immediate needs and long-term goals. This Peer Review Report examines Baker’s performance in light of these responsibilities, considering factors such as resource management, stakeholder engagement, and compliance with local regulations. The review is particularly relevant given the ongoing efforts to stabilize and develop Sudan Khartoum amidst broader regional challenges.</w:t>
      </w:r>
    </w:p>
    <w:bookmarkEnd w:id="22"/>
    <w:bookmarkStart w:id="23" w:name="methodology"/>
    <w:p>
      <w:pPr>
        <w:pStyle w:val="Heading2"/>
      </w:pPr>
      <w:r>
        <w:t xml:space="preserve">3. Methodology</w:t>
      </w:r>
    </w:p>
    <w:p>
      <w:pPr>
        <w:pStyle w:val="FirstParagraph"/>
      </w:pPr>
      <w:r>
        <w:t xml:space="preserve">The evaluation process involved a multi-faceted approach, including site visits, interviews with local stakeholders, and a thorough review of documentation provided by Baker. Data was collected from various sources, including government agencies, community leaders, and independent experts familiar with the Sudan Khartoum context. The review team also analyzed Baker’s project plans, financial reports, and impact assessments to gauge the effectiveness of their initiatives. This methodology ensures a balanced and objective assessment of Baker’s performance, taking into account both quantitative metrics and qualitative insights.</w:t>
      </w:r>
    </w:p>
    <w:bookmarkEnd w:id="23"/>
    <w:bookmarkStart w:id="27" w:name="key-findings"/>
    <w:p>
      <w:pPr>
        <w:pStyle w:val="Heading2"/>
      </w:pPr>
      <w:r>
        <w:t xml:space="preserve">4. Key Findings</w:t>
      </w:r>
    </w:p>
    <w:bookmarkStart w:id="24" w:name="technical-proficiency"/>
    <w:p>
      <w:pPr>
        <w:pStyle w:val="Heading3"/>
      </w:pPr>
      <w:r>
        <w:t xml:space="preserve">4.1 Technical Proficiency</w:t>
      </w:r>
    </w:p>
    <w:p>
      <w:pPr>
        <w:pStyle w:val="FirstParagraph"/>
      </w:pPr>
      <w:r>
        <w:t xml:space="preserve">Baker has demonstrated a strong technical foundation in executing projects within Sudan Khartoum. Their ability to adapt to local conditions, such as climate and infrastructure limitations, is commendable. For instance, Baker’s water management projects have shown significant improvements in efficiency and sustainability. However, there is room for improvement in integrating advanced technologies that could further enhance project outcomes.</w:t>
      </w:r>
    </w:p>
    <w:bookmarkEnd w:id="24"/>
    <w:bookmarkStart w:id="25" w:name="community-engagement"/>
    <w:p>
      <w:pPr>
        <w:pStyle w:val="Heading3"/>
      </w:pPr>
      <w:r>
        <w:t xml:space="preserve">4.2 Community Engagement</w:t>
      </w:r>
    </w:p>
    <w:p>
      <w:pPr>
        <w:pStyle w:val="FirstParagraph"/>
      </w:pPr>
      <w:r>
        <w:t xml:space="preserve">One of Baker’s notable strengths is their commitment to engaging with local communities in Sudan Khartoum. Through regular consultations and feedback mechanisms, Baker has been able to align their projects with the needs and expectations of residents. This approach has fostered trust and cooperation, which are essential for the success of any initiative in this region. Nevertheless, efforts to include marginalized groups could be strengthened to ensure more inclusive development.</w:t>
      </w:r>
    </w:p>
    <w:bookmarkEnd w:id="25"/>
    <w:bookmarkStart w:id="26" w:name="compliance-and-governance"/>
    <w:p>
      <w:pPr>
        <w:pStyle w:val="Heading3"/>
      </w:pPr>
      <w:r>
        <w:t xml:space="preserve">4.3 Compliance and Governance</w:t>
      </w:r>
    </w:p>
    <w:p>
      <w:pPr>
        <w:pStyle w:val="FirstParagraph"/>
      </w:pPr>
      <w:r>
        <w:t xml:space="preserve">Baker has generally adhered to local regulations and international standards in their operations within Sudan Khartoum. Their transparency in reporting and accountability measures is a positive aspect of their work. However, the review identified some gaps in documentation and record-keeping that need to be addressed to maintain compliance and facilitate future audits.</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for Baker to enhance their operations in Sudan Khartoum:</w:t>
      </w:r>
    </w:p>
    <w:p>
      <w:pPr>
        <w:numPr>
          <w:ilvl w:val="0"/>
          <w:numId w:val="1001"/>
        </w:numPr>
        <w:pStyle w:val="Compact"/>
      </w:pPr>
      <w:r>
        <w:rPr>
          <w:bCs/>
          <w:b/>
        </w:rPr>
        <w:t xml:space="preserve">Enhance Technological Integration:</w:t>
      </w:r>
      <w:r>
        <w:t xml:space="preserve"> </w:t>
      </w:r>
      <w:r>
        <w:t xml:space="preserve">Invest in advanced tools and technologies to improve project efficiency and sustainability.</w:t>
      </w:r>
    </w:p>
    <w:p>
      <w:pPr>
        <w:numPr>
          <w:ilvl w:val="0"/>
          <w:numId w:val="1001"/>
        </w:numPr>
        <w:pStyle w:val="Compact"/>
      </w:pPr>
      <w:r>
        <w:rPr>
          <w:bCs/>
          <w:b/>
        </w:rPr>
        <w:t xml:space="preserve">Strengthen Community Inclusion:</w:t>
      </w:r>
      <w:r>
        <w:t xml:space="preserve"> </w:t>
      </w:r>
      <w:r>
        <w:t xml:space="preserve">Develop targeted strategies to engage marginalized groups and ensure their voices are heard in decision-making processes.</w:t>
      </w:r>
    </w:p>
    <w:p>
      <w:pPr>
        <w:numPr>
          <w:ilvl w:val="0"/>
          <w:numId w:val="1001"/>
        </w:numPr>
        <w:pStyle w:val="Compact"/>
      </w:pPr>
      <w:r>
        <w:rPr>
          <w:bCs/>
          <w:b/>
        </w:rPr>
        <w:t xml:space="preserve">Improve Documentation Practices:</w:t>
      </w:r>
      <w:r>
        <w:t xml:space="preserve"> </w:t>
      </w:r>
      <w:r>
        <w:t xml:space="preserve">Implement robust systems for record-keeping and reporting to ensure full compliance with regulatory requirements.</w:t>
      </w:r>
    </w:p>
    <w:p>
      <w:pPr>
        <w:numPr>
          <w:ilvl w:val="0"/>
          <w:numId w:val="1001"/>
        </w:numPr>
        <w:pStyle w:val="Compact"/>
      </w:pPr>
      <w:r>
        <w:rPr>
          <w:bCs/>
          <w:b/>
        </w:rPr>
        <w:t xml:space="preserve">Foster Partnerships:</w:t>
      </w:r>
      <w:r>
        <w:t xml:space="preserve"> </w:t>
      </w:r>
      <w:r>
        <w:t xml:space="preserve">Collaborate more closely with local authorities, NGOs, and other stakeholders to leverage resources and expertise for greater impact.</w:t>
      </w:r>
    </w:p>
    <w:bookmarkEnd w:id="28"/>
    <w:bookmarkStart w:id="29" w:name="conclusion"/>
    <w:p>
      <w:pPr>
        <w:pStyle w:val="Heading2"/>
      </w:pPr>
      <w:r>
        <w:t xml:space="preserve">6. Conclusion</w:t>
      </w:r>
    </w:p>
    <w:p>
      <w:pPr>
        <w:pStyle w:val="FirstParagraph"/>
      </w:pPr>
      <w:r>
        <w:t xml:space="preserve">In conclusion, this Peer Review Report highlights Baker’s significant contributions to the development of Sudan Khartoum while identifying areas for improvement. By addressing the recommendations outlined in this document, Baker can further solidify their role as a trusted and effective partner in the region. The continued success of Baker’s initiatives will depend on their ability to adapt to the evolving needs of Sudan Khartoum and maintain a commitment to excellence, transparency, and inclusivity.</w:t>
      </w:r>
    </w:p>
    <w:bookmarkEnd w:id="29"/>
    <w:p>
      <w:pPr>
        <w:pStyle w:val="BodyText"/>
      </w:pPr>
      <w:r>
        <w:rPr>
          <w:bCs/>
          <w:b/>
        </w:rPr>
        <w:t xml:space="preserve">Prepared by:</w:t>
      </w:r>
      <w:r>
        <w:t xml:space="preserve"> </w:t>
      </w:r>
      <w:r>
        <w:t xml:space="preserve">Senior Technical Evaluation Committee</w:t>
      </w:r>
    </w:p>
    <w:p>
      <w:pPr>
        <w:pStyle w:val="BodyText"/>
      </w:pPr>
      <w:r>
        <w:rPr>
          <w:bCs/>
          <w:b/>
        </w:rPr>
        <w:t xml:space="preserve">For:</w:t>
      </w:r>
      <w:r>
        <w:t xml:space="preserve"> </w:t>
      </w:r>
      <w:r>
        <w:t xml:space="preserve">Baker Operations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Sudan Khartoum</dc:title>
  <dc:creator/>
  <dc:language>en</dc:language>
  <cp:keywords/>
  <dcterms:created xsi:type="dcterms:W3CDTF">2026-10-10T06:55:17Z</dcterms:created>
  <dcterms:modified xsi:type="dcterms:W3CDTF">2026-10-10T06:55:17Z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