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 Role</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efficiency, compliance adherence, and client service standards of a Banker operating within the financial district of Australia Melbourne. The review focuses on the individual's ability to navigate the complex regulatory environment mandated by the Australian Prudential Regulation Authority (APRA) and the Australian Securities and Investments Commission (ASIC), while maintaining high standards of customer engagement typical of Melbourne's competitive banking sector.</w:t>
      </w:r>
    </w:p>
    <w:p>
      <w:pPr>
        <w:pStyle w:val="BodyText"/>
      </w:pPr>
      <w:r>
        <w:t xml:space="preserve">The assessment covers a six-month period and includes analysis of transaction accuracy, risk management protocols, adherence to Responsible Lending Obligations (RLO), and contribution to team dynamics. The findings indicate a generally strong performance, with specific areas identified for professional development to align with evolving industry standards in Victoria.</w:t>
      </w:r>
    </w:p>
    <w:bookmarkEnd w:id="21"/>
    <w:bookmarkStart w:id="22" w:name="introduction-and-scope"/>
    <w:p>
      <w:pPr>
        <w:pStyle w:val="Heading2"/>
      </w:pPr>
      <w:r>
        <w:t xml:space="preserve">2. Introduction and Scope</w:t>
      </w:r>
    </w:p>
    <w:p>
      <w:pPr>
        <w:pStyle w:val="FirstParagraph"/>
      </w:pPr>
      <w:r>
        <w:t xml:space="preserve">The role of a Banker in Australia Melbourne is multifaceted, requiring a blend of technical financial knowledge, regulatory compliance, and exceptional interpersonal skills. This Peer Review Report aims to provide an objective analysis of the subject's performance against these criteria. The scope of this review includes:</w:t>
      </w:r>
    </w:p>
    <w:p>
      <w:pPr>
        <w:numPr>
          <w:ilvl w:val="0"/>
          <w:numId w:val="1001"/>
        </w:numPr>
        <w:pStyle w:val="Compact"/>
      </w:pPr>
      <w:r>
        <w:t xml:space="preserve">Evaluation of daily banking operations and transaction processing.</w:t>
      </w:r>
    </w:p>
    <w:p>
      <w:pPr>
        <w:numPr>
          <w:ilvl w:val="0"/>
          <w:numId w:val="1001"/>
        </w:numPr>
        <w:pStyle w:val="Compact"/>
      </w:pPr>
      <w:r>
        <w:t xml:space="preserve">Assessment of compliance with Australian banking laws and internal bank policies.</w:t>
      </w:r>
    </w:p>
    <w:p>
      <w:pPr>
        <w:numPr>
          <w:ilvl w:val="0"/>
          <w:numId w:val="1001"/>
        </w:numPr>
        <w:pStyle w:val="Compact"/>
      </w:pPr>
      <w:r>
        <w:t xml:space="preserve">Review of client relationship management and sales performance.</w:t>
      </w:r>
    </w:p>
    <w:p>
      <w:pPr>
        <w:numPr>
          <w:ilvl w:val="0"/>
          <w:numId w:val="1001"/>
        </w:numPr>
        <w:pStyle w:val="Compact"/>
      </w:pPr>
      <w:r>
        <w:t xml:space="preserve">Analysis of risk mitigation strategies employed during customer interactions.</w:t>
      </w:r>
    </w:p>
    <w:p>
      <w:pPr>
        <w:pStyle w:val="FirstParagraph"/>
      </w:pPr>
      <w:r>
        <w:t xml:space="preserve">The review methodology involved direct observation, analysis of transaction logs, feedback from colleagues, and a review of customer satisfaction surveys specific to the Melbourne branch network.</w:t>
      </w:r>
    </w:p>
    <w:bookmarkEnd w:id="22"/>
    <w:bookmarkStart w:id="23" w:name="operational-performance"/>
    <w:p>
      <w:pPr>
        <w:pStyle w:val="Heading2"/>
      </w:pPr>
      <w:r>
        <w:t xml:space="preserve">3. Operational Performance</w:t>
      </w:r>
    </w:p>
    <w:p>
      <w:pPr>
        <w:pStyle w:val="FirstParagraph"/>
      </w:pPr>
      <w:r>
        <w:t xml:space="preserve">The Banker demonstrated a high level of proficiency in handling routine banking transactions, including deposits, withdrawals, and account management. In the fast-paced environment of Australia Melbourne, where customer expectations for speed and accuracy are elevated, the subject maintained a transaction error rate significantly below the branch average.</w:t>
      </w:r>
    </w:p>
    <w:p>
      <w:pPr>
        <w:pStyle w:val="BodyText"/>
      </w:pPr>
      <w:r>
        <w:t xml:space="preserve">Furthermore, the Banker showed adaptability in utilizing the bank's digital platforms to streamline processes. This is crucial in Melbourne, a city known for its high adoption of fintech solutions. The ability to guide customers through digital onboarding while providing personal assistance was noted as a key strength.</w:t>
      </w:r>
    </w:p>
    <w:bookmarkEnd w:id="23"/>
    <w:bookmarkStart w:id="24" w:name="X101ecc4296dd6393e0a669a519e77b87c8106e0"/>
    <w:p>
      <w:pPr>
        <w:pStyle w:val="Heading2"/>
      </w:pPr>
      <w:r>
        <w:t xml:space="preserve">4. Regulatory Compliance and Risk Management</w:t>
      </w:r>
    </w:p>
    <w:p>
      <w:pPr>
        <w:pStyle w:val="FirstParagraph"/>
      </w:pPr>
      <w:r>
        <w:t xml:space="preserve">Compliance is a critical component of the banking sector in Australia. This Peer Review Report highlights the Banker's adherence to the National Consumer Credit Protection Act 2009. The subject consistently performed thorough Know Your Customer (KYC) checks and anti-money laundering (AML) screenings, ensuring that the branch remains compliant with AUSTRAC regulations.</w:t>
      </w:r>
    </w:p>
    <w:p>
      <w:pPr>
        <w:pStyle w:val="BodyText"/>
      </w:pPr>
      <w:r>
        <w:t xml:space="preserve">During the review period, the Banker successfully identified and reported several suspicious transactions, demonstrating a keen awareness of financial crime risks. This proactive approach is essential for maintaining the integrity of the banking system in Australia Melbourne. However, the report notes that documentation for certain complex lending assessments could be more detailed to ensure full defensibility under ASIC scrutiny.</w:t>
      </w:r>
    </w:p>
    <w:bookmarkEnd w:id="24"/>
    <w:bookmarkStart w:id="25" w:name="X1b56df172a0e6f245b15d2a83bf15861b505ebe"/>
    <w:p>
      <w:pPr>
        <w:pStyle w:val="Heading2"/>
      </w:pPr>
      <w:r>
        <w:t xml:space="preserve">5. Client Service and Relationship Management</w:t>
      </w:r>
    </w:p>
    <w:p>
      <w:pPr>
        <w:pStyle w:val="FirstParagraph"/>
      </w:pPr>
      <w:r>
        <w:t xml:space="preserve">Customer service in Australia Melbourne is characterized by a demand for personalized and empathetic interactions. The Banker excelled in building rapport with clients, effectively explaining complex financial products in accessible terms. Feedback from customers indicated high satisfaction levels, particularly regarding the Banker's patience and willingness to assist with financial planning queries.</w:t>
      </w:r>
    </w:p>
    <w:p>
      <w:pPr>
        <w:pStyle w:val="BodyText"/>
      </w:pPr>
      <w:r>
        <w:t xml:space="preserve">The subject also contributed to the branch's cross-selling initiatives, successfully introducing clients to relevant savings and investment products. This not only enhanced customer value but also supported the branch's revenue targets. The Banker's cultural sensitivity was particularly noted, reflecting the diverse demographic makeup of Melbourne's population.</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several areas for improvement:</w:t>
      </w:r>
    </w:p>
    <w:p>
      <w:pPr>
        <w:numPr>
          <w:ilvl w:val="0"/>
          <w:numId w:val="1002"/>
        </w:numPr>
        <w:pStyle w:val="Compact"/>
      </w:pPr>
      <w:r>
        <w:rPr>
          <w:bCs/>
          <w:b/>
        </w:rPr>
        <w:t xml:space="preserve">Advanced Financial Product Knowledge:</w:t>
      </w:r>
      <w:r>
        <w:t xml:space="preserve"> </w:t>
      </w:r>
      <w:r>
        <w:t xml:space="preserve">To better serve high-net-worth clients in Melbourne, the Banker should deepen their understanding of wealth management products and superannuation strategies.</w:t>
      </w:r>
    </w:p>
    <w:p>
      <w:pPr>
        <w:numPr>
          <w:ilvl w:val="0"/>
          <w:numId w:val="1002"/>
        </w:numPr>
        <w:pStyle w:val="Compact"/>
      </w:pPr>
      <w:r>
        <w:rPr>
          <w:bCs/>
          <w:b/>
        </w:rPr>
        <w:t xml:space="preserve">Time Management:</w:t>
      </w:r>
      <w:r>
        <w:t xml:space="preserve"> </w:t>
      </w:r>
      <w:r>
        <w:t xml:space="preserve">During peak hours, the Banker occasionally struggled to balance transaction processing with advisory services. Implementing more efficient time management techniques could enhance service delivery.</w:t>
      </w:r>
    </w:p>
    <w:p>
      <w:pPr>
        <w:numPr>
          <w:ilvl w:val="0"/>
          <w:numId w:val="1002"/>
        </w:numPr>
        <w:pStyle w:val="Compact"/>
      </w:pPr>
      <w:r>
        <w:rPr>
          <w:bCs/>
          <w:b/>
        </w:rPr>
        <w:t xml:space="preserve">Documentation Precision:</w:t>
      </w:r>
      <w:r>
        <w:t xml:space="preserve"> </w:t>
      </w:r>
      <w:r>
        <w:t xml:space="preserve">As noted in the compliance section, ensuring that all client interactions and assessments are meticulously documented will further strengthen the Banker's compliance posture.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Banker is a valuable asset to the branch in Australia Melbourne. Their strong operational skills, commitment to compliance, and excellent client service align well with the bank's strategic objectives. The identified areas for improvement are minor and can be addressed through targeted training and mentorship.</w:t>
      </w:r>
    </w:p>
    <w:p>
      <w:pPr>
        <w:pStyle w:val="BodyText"/>
      </w:pPr>
      <w:r>
        <w:t xml:space="preserve">It is recommended that the Banker undergo additional training in advanced financial products and participate in workshops focused on efficient time management. Regular follow-up reviews should be conducted to monitor progress in these areas. Overall, the Banker's performance reflects positively on the institution and contributes to the high standards expected in the Australian banking industry.</w:t>
      </w:r>
    </w:p>
    <w:bookmarkEnd w:id="27"/>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 Australia Melbourne</dc:title>
  <dc:creator/>
  <dc:language>en</dc:language>
  <cp:keywords/>
  <dcterms:created xsi:type="dcterms:W3CDTF">2026-10-10T03:53:16Z</dcterms:created>
  <dcterms:modified xsi:type="dcterms:W3CDTF">2026-10-10T03:53:16Z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