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Professional Conduct Assessment of Banker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ethical conduct, and operational effectiveness of a Banker operating within the financial sector in Australia Sydney. The purpose of this review is to provide an objective assessment based on peer observations, client feedback, and adherence to industry standards. The findings presented herein aim to support continuous improvement, ensure compliance with regulatory requirements, and uphold the integrity of banking practices in the region.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Professional competence and technical skills of the Banker.</w:t>
      </w:r>
    </w:p>
    <w:p>
      <w:pPr>
        <w:numPr>
          <w:ilvl w:val="0"/>
          <w:numId w:val="1001"/>
        </w:numPr>
        <w:pStyle w:val="Compact"/>
      </w:pPr>
      <w:r>
        <w:t xml:space="preserve">Compliance with Australian financial regulations and banking standards.</w:t>
      </w:r>
    </w:p>
    <w:p>
      <w:pPr>
        <w:numPr>
          <w:ilvl w:val="0"/>
          <w:numId w:val="1001"/>
        </w:numPr>
        <w:pStyle w:val="Compact"/>
      </w:pPr>
      <w:r>
        <w:t xml:space="preserve">Client relationship management and service quality.</w:t>
      </w:r>
    </w:p>
    <w:p>
      <w:pPr>
        <w:numPr>
          <w:ilvl w:val="0"/>
          <w:numId w:val="1001"/>
        </w:numPr>
        <w:pStyle w:val="Compact"/>
      </w:pPr>
      <w:r>
        <w:t xml:space="preserve">Ethical conduct and adherence to the code of professional behavior.</w:t>
      </w:r>
    </w:p>
    <w:p>
      <w:pPr>
        <w:numPr>
          <w:ilvl w:val="0"/>
          <w:numId w:val="1001"/>
        </w:numPr>
        <w:pStyle w:val="Compact"/>
      </w:pPr>
      <w:r>
        <w:t xml:space="preserve">Contribution to team collaboration and organizational goals in Australia Sydney.</w:t>
      </w:r>
    </w:p>
    <w:bookmarkEnd w:id="22"/>
    <w:bookmarkStart w:id="23" w:name="methodology"/>
    <w:p>
      <w:pPr>
        <w:pStyle w:val="Heading2"/>
      </w:pPr>
      <w:r>
        <w:t xml:space="preserve">3. Methodology</w:t>
      </w:r>
    </w:p>
    <w:p>
      <w:pPr>
        <w:pStyle w:val="FirstParagraph"/>
      </w:pPr>
      <w:r>
        <w:t xml:space="preserve">The assessment was conducted through a combination of methods, including:</w:t>
      </w:r>
    </w:p>
    <w:p>
      <w:pPr>
        <w:numPr>
          <w:ilvl w:val="0"/>
          <w:numId w:val="1002"/>
        </w:numPr>
        <w:pStyle w:val="Compact"/>
      </w:pPr>
      <w:r>
        <w:t xml:space="preserve">Structured interviews with colleagues and supervisors.</w:t>
      </w:r>
    </w:p>
    <w:p>
      <w:pPr>
        <w:numPr>
          <w:ilvl w:val="0"/>
          <w:numId w:val="1002"/>
        </w:numPr>
        <w:pStyle w:val="Compact"/>
      </w:pPr>
      <w:r>
        <w:t xml:space="preserve">Review of transaction records and client interaction logs.</w:t>
      </w:r>
    </w:p>
    <w:p>
      <w:pPr>
        <w:numPr>
          <w:ilvl w:val="0"/>
          <w:numId w:val="1002"/>
        </w:numPr>
        <w:pStyle w:val="Compact"/>
      </w:pPr>
      <w:r>
        <w:t xml:space="preserve">Analysis of performance metrics and key performance indicators (KPIs).</w:t>
      </w:r>
    </w:p>
    <w:p>
      <w:pPr>
        <w:numPr>
          <w:ilvl w:val="0"/>
          <w:numId w:val="1002"/>
        </w:numPr>
        <w:pStyle w:val="Compact"/>
      </w:pPr>
      <w:r>
        <w:t xml:space="preserve">Feedback from clients served by the Banker in Australia Sydney.</w:t>
      </w:r>
    </w:p>
    <w:p>
      <w:pPr>
        <w:numPr>
          <w:ilvl w:val="0"/>
          <w:numId w:val="1002"/>
        </w:numPr>
        <w:pStyle w:val="Compact"/>
      </w:pPr>
      <w:r>
        <w:t xml:space="preserve">Observation of daily operations and decision-making processes.</w:t>
      </w:r>
    </w:p>
    <w:p>
      <w:pPr>
        <w:pStyle w:val="FirstParagraph"/>
      </w:pPr>
      <w:r>
        <w:t xml:space="preserve">All data collected was anonymized where necessary to maintain confidentiality and ensure an unbiased evaluation.</w:t>
      </w:r>
    </w:p>
    <w:bookmarkEnd w:id="23"/>
    <w:bookmarkStart w:id="29" w:name="findings"/>
    <w:p>
      <w:pPr>
        <w:pStyle w:val="Heading2"/>
      </w:pPr>
      <w:r>
        <w:t xml:space="preserve">4. Findings</w:t>
      </w:r>
    </w:p>
    <w:bookmarkStart w:id="24" w:name="professional-competence"/>
    <w:p>
      <w:pPr>
        <w:pStyle w:val="Heading3"/>
      </w:pPr>
      <w:r>
        <w:t xml:space="preserve">4.1 Professional Competence</w:t>
      </w:r>
    </w:p>
    <w:p>
      <w:pPr>
        <w:pStyle w:val="FirstParagraph"/>
      </w:pPr>
      <w:r>
        <w:t xml:space="preserve">The Banker demonstrates a strong understanding of financial products, risk management, and regulatory frameworks applicable in Australia Sydney. Their ability to analyze complex financial scenarios and provide tailored solutions to clients is commendable. However, there is room for improvement in staying updated with emerging fintech trends and digital banking innovations.</w:t>
      </w:r>
    </w:p>
    <w:bookmarkEnd w:id="24"/>
    <w:bookmarkStart w:id="25" w:name="compliance-and-regulatory-adherence"/>
    <w:p>
      <w:pPr>
        <w:pStyle w:val="Heading3"/>
      </w:pPr>
      <w:r>
        <w:t xml:space="preserve">4.2 Compliance and Regulatory Adherence</w:t>
      </w:r>
    </w:p>
    <w:p>
      <w:pPr>
        <w:pStyle w:val="FirstParagraph"/>
      </w:pPr>
      <w:r>
        <w:t xml:space="preserve">The Banker consistently adheres to the guidelines set by the Australian Prudential Regulation Authority (APRA) and the Australian Securities and Investments Commission (ASIC). Documentation practices are thorough, and there have been no reported breaches of compliance during the review period. This reflects a high level of professionalism and accountability.</w:t>
      </w:r>
    </w:p>
    <w:bookmarkEnd w:id="25"/>
    <w:bookmarkStart w:id="26" w:name="client-relationship-management"/>
    <w:p>
      <w:pPr>
        <w:pStyle w:val="Heading3"/>
      </w:pPr>
      <w:r>
        <w:t xml:space="preserve">4.3 Client Relationship Management</w:t>
      </w:r>
    </w:p>
    <w:p>
      <w:pPr>
        <w:pStyle w:val="FirstParagraph"/>
      </w:pPr>
      <w:r>
        <w:t xml:space="preserve">Feedback from clients indicates that the Banker is approachable, responsive, and capable of building trust. Clients appreciate the personalized attention and clear communication provided. However, some clients have noted delays in resolving complex queries, suggesting a need for improved efficiency in handling escalated issues.</w:t>
      </w:r>
    </w:p>
    <w:bookmarkEnd w:id="26"/>
    <w:bookmarkStart w:id="27" w:name="ethical-conduct"/>
    <w:p>
      <w:pPr>
        <w:pStyle w:val="Heading3"/>
      </w:pPr>
      <w:r>
        <w:t xml:space="preserve">4.4 Ethical Conduct</w:t>
      </w:r>
    </w:p>
    <w:p>
      <w:pPr>
        <w:pStyle w:val="FirstParagraph"/>
      </w:pPr>
      <w:r>
        <w:t xml:space="preserve">The Banker upholds the highest ethical standards, demonstrating integrity and transparency in all dealings. There have been no instances of misconduct or conflicts of interest reported. Their commitment to ethical banking practices aligns with the expectations of the financial sector in Australia Sydney.</w:t>
      </w:r>
    </w:p>
    <w:bookmarkEnd w:id="27"/>
    <w:bookmarkStart w:id="28" w:name="team-collaboration"/>
    <w:p>
      <w:pPr>
        <w:pStyle w:val="Heading3"/>
      </w:pPr>
      <w:r>
        <w:t xml:space="preserve">4.5 Team Collaboration</w:t>
      </w:r>
    </w:p>
    <w:p>
      <w:pPr>
        <w:pStyle w:val="FirstParagraph"/>
      </w:pPr>
      <w:r>
        <w:t xml:space="preserve">The Banker actively contributes to team initiatives and supports colleagues in achieving shared goals. Their collaborative approach fosters a positive work environment. However, there is an opportunity to take on more leadership roles in cross-functional projects to further enhance their impact.</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Engage in continuous professional development to stay abreast of technological advancements in banking.</w:t>
      </w:r>
    </w:p>
    <w:p>
      <w:pPr>
        <w:numPr>
          <w:ilvl w:val="0"/>
          <w:numId w:val="1003"/>
        </w:numPr>
        <w:pStyle w:val="Compact"/>
      </w:pPr>
      <w:r>
        <w:t xml:space="preserve">Implement strategies to improve response times for complex client queries.</w:t>
      </w:r>
    </w:p>
    <w:p>
      <w:pPr>
        <w:numPr>
          <w:ilvl w:val="0"/>
          <w:numId w:val="1003"/>
        </w:numPr>
        <w:pStyle w:val="Compact"/>
      </w:pPr>
      <w:r>
        <w:t xml:space="preserve">Take on leadership responsibilities in team projects to develop managerial skills.</w:t>
      </w:r>
    </w:p>
    <w:p>
      <w:pPr>
        <w:numPr>
          <w:ilvl w:val="0"/>
          <w:numId w:val="1003"/>
        </w:numPr>
        <w:pStyle w:val="Compact"/>
      </w:pPr>
      <w:r>
        <w:t xml:space="preserve">Maintain the current high standards of compliance and ethical conduct.</w:t>
      </w:r>
    </w:p>
    <w:bookmarkEnd w:id="30"/>
    <w:bookmarkStart w:id="31" w:name="conclusion"/>
    <w:p>
      <w:pPr>
        <w:pStyle w:val="Heading2"/>
      </w:pPr>
      <w:r>
        <w:t xml:space="preserve">6. Conclusion</w:t>
      </w:r>
    </w:p>
    <w:p>
      <w:pPr>
        <w:pStyle w:val="FirstParagraph"/>
      </w:pPr>
      <w:r>
        <w:t xml:space="preserve">This Peer Review Report highlights the strengths and areas for improvement of the Banker operating in Australia Sydney. Overall, the Banker exhibits a high level of professionalism, competence, and ethical conduct. By addressing the identified areas for improvement, the Banker can further enhance their performance and contribute more effectively to the organization and the broader financial sector in Australia Sydney.</w:t>
      </w:r>
    </w:p>
    <w:bookmarkEnd w:id="31"/>
    <w:p>
      <w:pPr>
        <w:pStyle w:val="BodyText"/>
      </w:pPr>
      <w:r>
        <w:rPr>
          <w:bCs/>
          <w:b/>
        </w:rPr>
        <w:t xml:space="preserve">Prepared by:</w:t>
      </w:r>
    </w:p>
    <w:p>
      <w:pPr>
        <w:pStyle w:val="BodyText"/>
      </w:pPr>
      <w:r>
        <w:t xml:space="preserve">Peer Review Committee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Assessment</dc:title>
  <dc:creator/>
  <dc:language>en</dc:language>
  <cp:keywords/>
  <dcterms:created xsi:type="dcterms:W3CDTF">2026-10-10T08:51:41Z</dcterms:created>
  <dcterms:modified xsi:type="dcterms:W3CDTF">2026-10-10T08:51:41Z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