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 Role</w:t>
      </w:r>
    </w:p>
    <w:p>
      <w:pPr>
        <w:pStyle w:val="BodyText"/>
      </w:pPr>
      <w:r>
        <w:rPr>
          <w:bCs/>
          <w:b/>
        </w:rPr>
        <w:t xml:space="preserve">Location:</w:t>
      </w:r>
      <w:r>
        <w:t xml:space="preserve"> </w:t>
      </w:r>
      <w:r>
        <w:t xml:space="preserve">China Guangzhou (Greater Bay Area Financial Hub)</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Senior Relationship Manager (Anonymous)</w:t>
      </w:r>
    </w:p>
    <w:p>
      <w:pPr>
        <w:pStyle w:val="BodyText"/>
      </w:pPr>
      <w:r>
        <w:rPr>
          <w:bCs/>
          <w:b/>
        </w:rPr>
        <w:t xml:space="preserve">Department:</w:t>
      </w:r>
      <w:r>
        <w:t xml:space="preserve"> </w:t>
      </w:r>
      <w:r>
        <w:t xml:space="preserve">Corporate Banking &amp; Wealth Management</w:t>
      </w:r>
    </w:p>
    <w:p>
      <w:pPr>
        <w:pStyle w:val="BodyText"/>
      </w:pPr>
      <w:r>
        <w:rPr>
          <w:bCs/>
          <w:b/>
        </w:rPr>
        <w:t xml:space="preserve">Banker Name:</w:t>
      </w:r>
      <w:r>
        <w:t xml:space="preserve"> </w:t>
      </w:r>
      <w:r>
        <w:t xml:space="preserve">[Confidential]</w:t>
      </w:r>
    </w:p>
    <w:p>
      <w:pPr>
        <w:pStyle w:val="BodyText"/>
      </w:pPr>
      <w:r>
        <w:rPr>
          <w:bCs/>
          <w:b/>
        </w:rPr>
        <w:t xml:space="preserve">Job Title:</w:t>
      </w:r>
      <w:r>
        <w:t xml:space="preserve"> </w:t>
      </w:r>
      <w:r>
        <w:t xml:space="preserve">Associate Banker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conduct, technical expertise, and strategic alignment of the designated</w:t>
      </w:r>
      <w:r>
        <w:t xml:space="preserve"> </w:t>
      </w:r>
      <w:r>
        <w:rPr>
          <w:bCs/>
          <w:b/>
        </w:rPr>
        <w:t xml:space="preserve">Banker</w:t>
      </w:r>
      <w:r>
        <w:t xml:space="preserve"> </w:t>
      </w:r>
      <w:r>
        <w:t xml:space="preserve">operating within the dynamic financial landscape of</w:t>
      </w:r>
      <w:r>
        <w:t xml:space="preserve"> </w:t>
      </w:r>
      <w:r>
        <w:rPr>
          <w:bCs/>
          <w:b/>
        </w:rPr>
        <w:t xml:space="preserve">China Guangzhou</w:t>
      </w:r>
      <w:r>
        <w:t xml:space="preserve">. As Guangzhou continues to solidify its position as a pivotal node in the Greater Bay Area (GBA) economic strategy, the expectations for banking professionals have escalated significantly. This review evaluates how effectively the Banker navigates local regulatory frameworks, leverages regional market opportunities, and maintains high standards of client service and risk management.</w:t>
      </w:r>
    </w:p>
    <w:bookmarkEnd w:id="21"/>
    <w:bookmarkStart w:id="22" w:name="X41e3281c35d9056d8cdba3a95b99417a0715c77"/>
    <w:p>
      <w:pPr>
        <w:pStyle w:val="Heading2"/>
      </w:pPr>
      <w:r>
        <w:t xml:space="preserve">2. Market Context: The Guangzhou Financial Environment</w:t>
      </w:r>
    </w:p>
    <w:p>
      <w:pPr>
        <w:pStyle w:val="FirstParagraph"/>
      </w:pPr>
      <w:r>
        <w:t xml:space="preserve">To accurately assess the Banker, one must consider the unique characteristics of</w:t>
      </w:r>
      <w:r>
        <w:t xml:space="preserve"> </w:t>
      </w:r>
      <w:r>
        <w:rPr>
          <w:bCs/>
          <w:b/>
        </w:rPr>
        <w:t xml:space="preserve">China Guangzhou</w:t>
      </w:r>
      <w:r>
        <w:t xml:space="preserve">. The city is not merely a commercial center but a gateway for cross-border trade, fintech innovation, and manufacturing supply chains. A successful Banker in this region must possess a dual competency: deep knowledge of traditional Chinese banking protocols and the agility to adapt to rapid digital transformation.</w:t>
      </w:r>
    </w:p>
    <w:p>
      <w:pPr>
        <w:pStyle w:val="BodyText"/>
      </w:pPr>
      <w:r>
        <w:t xml:space="preserve">The review focuses on the Banker's ability to operate within this specific context. Does the Banker understand the nuances of local government policies? Are they effectively utilizing Guangzhou's status as a pilot zone for financial innovation? The following sections detail the findings regarding these critical aspects.</w:t>
      </w:r>
    </w:p>
    <w:bookmarkEnd w:id="22"/>
    <w:bookmarkStart w:id="26" w:name="performance-evaluation-criteria"/>
    <w:p>
      <w:pPr>
        <w:pStyle w:val="Heading2"/>
      </w:pPr>
      <w:r>
        <w:t xml:space="preserve">3. Performance Evaluation Criteria</w:t>
      </w:r>
    </w:p>
    <w:bookmarkStart w:id="23" w:name="X6a2dd88ab6d0b8409ca10c6fc929d21fcb3c3f3"/>
    <w:p>
      <w:pPr>
        <w:pStyle w:val="Heading3"/>
      </w:pPr>
      <w:r>
        <w:t xml:space="preserve">3.1. Client Relationship Management and Cultural Intelligence</w:t>
      </w:r>
    </w:p>
    <w:p>
      <w:pPr>
        <w:pStyle w:val="FirstParagraph"/>
      </w:pPr>
      <w:r>
        <w:t xml:space="preserve">In the context of</w:t>
      </w:r>
      <w:r>
        <w:t xml:space="preserve"> </w:t>
      </w:r>
      <w:r>
        <w:rPr>
          <w:bCs/>
          <w:b/>
        </w:rPr>
        <w:t xml:space="preserve">China Guangzhou</w:t>
      </w:r>
      <w:r>
        <w:t xml:space="preserve">, business is deeply rooted in relationships (</w:t>
      </w:r>
      <w:r>
        <w:rPr>
          <w:iCs/>
          <w:i/>
        </w:rPr>
        <w:t xml:space="preserve">guanxi</w:t>
      </w:r>
      <w:r>
        <w:t xml:space="preserve">). This</w:t>
      </w:r>
      <w:r>
        <w:t xml:space="preserve"> </w:t>
      </w:r>
      <w:r>
        <w:rPr>
          <w:bCs/>
          <w:b/>
        </w:rPr>
        <w:t xml:space="preserve">Peer Review Report</w:t>
      </w:r>
      <w:r>
        <w:t xml:space="preserve"> </w:t>
      </w:r>
      <w:r>
        <w:t xml:space="preserve">highlights the Banker's exceptional ability to cultivate trust with local corporate clients and high-net-worth individuals. The Banker demonstrates a sophisticated understanding of local business etiquette, ensuring that interactions are respectful, timely, and culturally attuned.</w:t>
      </w:r>
    </w:p>
    <w:p>
      <w:pPr>
        <w:numPr>
          <w:ilvl w:val="0"/>
          <w:numId w:val="1001"/>
        </w:numPr>
        <w:pStyle w:val="Compact"/>
      </w:pPr>
      <w:r>
        <w:rPr>
          <w:bCs/>
          <w:b/>
        </w:rPr>
        <w:t xml:space="preserve">Strength:</w:t>
      </w:r>
      <w:r>
        <w:t xml:space="preserve"> </w:t>
      </w:r>
      <w:r>
        <w:t xml:space="preserve">The Banker has successfully expanded the client portfolio by 15% this quarter, primarily through referrals from existing local manufacturing firms in the Panyu and Tianhe districts.</w:t>
      </w:r>
    </w:p>
    <w:p>
      <w:pPr>
        <w:numPr>
          <w:ilvl w:val="0"/>
          <w:numId w:val="1001"/>
        </w:numPr>
        <w:pStyle w:val="Compact"/>
      </w:pPr>
      <w:r>
        <w:rPr>
          <w:bCs/>
          <w:b/>
        </w:rPr>
        <w:t xml:space="preserve">Observation:</w:t>
      </w:r>
      <w:r>
        <w:t xml:space="preserve"> </w:t>
      </w:r>
      <w:r>
        <w:t xml:space="preserve">The Banker effectively bridges the gap between international banking standards and local client expectations, a crucial skill for a Banker serving foreign-invested enterprises (FIEs) in Guangzhou.</w:t>
      </w:r>
    </w:p>
    <w:bookmarkEnd w:id="23"/>
    <w:bookmarkStart w:id="24" w:name="X101ecc4296dd6393e0a669a519e77b87c8106e0"/>
    <w:p>
      <w:pPr>
        <w:pStyle w:val="Heading3"/>
      </w:pPr>
      <w:r>
        <w:t xml:space="preserve">3.2. Regulatory Compliance and Risk Management</w:t>
      </w:r>
    </w:p>
    <w:p>
      <w:pPr>
        <w:pStyle w:val="FirstParagraph"/>
      </w:pPr>
      <w:r>
        <w:t xml:space="preserve">The regulatory environment in China is stringent and constantly evolving. A Banker operating in Guangzhou must be vigilant regarding anti-money laundering (AML) laws, capital controls, and data privacy regulations. This review confirms that the Banker maintains a rigorous compliance posture.</w:t>
      </w:r>
    </w:p>
    <w:p>
      <w:pPr>
        <w:numPr>
          <w:ilvl w:val="0"/>
          <w:numId w:val="1002"/>
        </w:numPr>
        <w:pStyle w:val="Compact"/>
      </w:pPr>
      <w:r>
        <w:rPr>
          <w:bCs/>
          <w:b/>
        </w:rPr>
        <w:t xml:space="preserve">Compliance:</w:t>
      </w:r>
      <w:r>
        <w:t xml:space="preserve"> </w:t>
      </w:r>
      <w:r>
        <w:t xml:space="preserve">All transaction documentation reviewed during this period adhered strictly to the guidelines set by the People's Bank of China (PBOC) and the National Financial Regulatory Administration (NFRA).</w:t>
      </w:r>
    </w:p>
    <w:p>
      <w:pPr>
        <w:numPr>
          <w:ilvl w:val="0"/>
          <w:numId w:val="1002"/>
        </w:numPr>
        <w:pStyle w:val="Compact"/>
      </w:pPr>
      <w:r>
        <w:rPr>
          <w:bCs/>
          <w:b/>
        </w:rPr>
        <w:t xml:space="preserve">Risk Assessment:</w:t>
      </w:r>
      <w:r>
        <w:t xml:space="preserve"> </w:t>
      </w:r>
      <w:r>
        <w:t xml:space="preserve">The Banker demonstrated proactive risk identification in cross-border trade finance deals, mitigating potential currency fluctuation risks for clients operating between Guangzhou and Southeast Asia.</w:t>
      </w:r>
    </w:p>
    <w:bookmarkEnd w:id="24"/>
    <w:bookmarkStart w:id="25" w:name="product-knowledge-and-digital-adaptation"/>
    <w:p>
      <w:pPr>
        <w:pStyle w:val="Heading3"/>
      </w:pPr>
      <w:r>
        <w:t xml:space="preserve">3.3. Product Knowledge and Digital Adaptation</w:t>
      </w:r>
    </w:p>
    <w:p>
      <w:pPr>
        <w:pStyle w:val="FirstParagraph"/>
      </w:pPr>
      <w:r>
        <w:t xml:space="preserve">Guangzhou is a leader in fintech adoption. Clients expect seamless digital experiences alongside personalized service. This</w:t>
      </w:r>
      <w:r>
        <w:t xml:space="preserve"> </w:t>
      </w:r>
      <w:r>
        <w:rPr>
          <w:bCs/>
          <w:b/>
        </w:rPr>
        <w:t xml:space="preserve">Peer Review Report</w:t>
      </w:r>
      <w:r>
        <w:t xml:space="preserve"> </w:t>
      </w:r>
      <w:r>
        <w:t xml:space="preserve">notes that the Banker is well-versed in the bank's digital platforms and effectively guides clients through online banking solutions, mobile payment integrations, and digital wealth management tools.</w:t>
      </w:r>
    </w:p>
    <w:p>
      <w:pPr>
        <w:numPr>
          <w:ilvl w:val="0"/>
          <w:numId w:val="1003"/>
        </w:numPr>
        <w:pStyle w:val="Compact"/>
      </w:pPr>
      <w:r>
        <w:rPr>
          <w:bCs/>
          <w:b/>
        </w:rPr>
        <w:t xml:space="preserve">Innovation:</w:t>
      </w:r>
      <w:r>
        <w:t xml:space="preserve"> </w:t>
      </w:r>
      <w:r>
        <w:t xml:space="preserve">The Banker actively promotes the use of blockchain-based trade finance solutions, aligning with Guangzhou's push for digital economy initiatives.</w:t>
      </w:r>
    </w:p>
    <w:p>
      <w:pPr>
        <w:numPr>
          <w:ilvl w:val="0"/>
          <w:numId w:val="1003"/>
        </w:numPr>
        <w:pStyle w:val="Compact"/>
      </w:pPr>
      <w:r>
        <w:rPr>
          <w:bCs/>
          <w:b/>
        </w:rPr>
        <w:t xml:space="preserve">Technical Skill:</w:t>
      </w:r>
      <w:r>
        <w:t xml:space="preserve"> </w:t>
      </w:r>
      <w:r>
        <w:t xml:space="preserve">Demonstrates strong proficiency in analyzing financial data to provide tailored investment advice, reflecting the high analytical standards required of a modern Banker.</w:t>
      </w:r>
    </w:p>
    <w:bookmarkEnd w:id="25"/>
    <w:bookmarkEnd w:id="26"/>
    <w:bookmarkStart w:id="27" w:name="areas-for-improvement"/>
    <w:p>
      <w:pPr>
        <w:pStyle w:val="Heading2"/>
      </w:pPr>
      <w:r>
        <w:t xml:space="preserve">4. Areas for Improvement</w:t>
      </w:r>
    </w:p>
    <w:p>
      <w:pPr>
        <w:pStyle w:val="FirstParagraph"/>
      </w:pPr>
      <w:r>
        <w:t xml:space="preserve">While the Banker's performance is commendable, this</w:t>
      </w:r>
      <w:r>
        <w:t xml:space="preserve"> </w:t>
      </w:r>
      <w:r>
        <w:rPr>
          <w:bCs/>
          <w:b/>
        </w:rPr>
        <w:t xml:space="preserve">Peer Review Report</w:t>
      </w:r>
      <w:r>
        <w:t xml:space="preserve"> </w:t>
      </w:r>
      <w:r>
        <w:t xml:space="preserve">identifies specific areas for growth to further enhance effectiveness in the</w:t>
      </w:r>
      <w:r>
        <w:t xml:space="preserve"> </w:t>
      </w:r>
      <w:r>
        <w:rPr>
          <w:bCs/>
          <w:b/>
        </w:rPr>
        <w:t xml:space="preserve">China Guangzhou</w:t>
      </w:r>
      <w:r>
        <w:t xml:space="preserve"> </w:t>
      </w:r>
      <w:r>
        <w:t xml:space="preserve">market:</w:t>
      </w:r>
    </w:p>
    <w:p>
      <w:pPr>
        <w:numPr>
          <w:ilvl w:val="0"/>
          <w:numId w:val="1004"/>
        </w:numPr>
        <w:pStyle w:val="Compact"/>
      </w:pPr>
      <w:r>
        <w:rPr>
          <w:bCs/>
          <w:b/>
        </w:rPr>
        <w:t xml:space="preserve">Cross-Border Expertise:</w:t>
      </w:r>
      <w:r>
        <w:t xml:space="preserve"> </w:t>
      </w:r>
      <w:r>
        <w:t xml:space="preserve">While strong locally, the Banker should deepen their knowledge of international trade regulations affecting the Greater Bay Area to better serve multinational corporations headquartered in Guangzhou.</w:t>
      </w:r>
    </w:p>
    <w:p>
      <w:pPr>
        <w:numPr>
          <w:ilvl w:val="0"/>
          <w:numId w:val="1004"/>
        </w:numPr>
        <w:pStyle w:val="Compact"/>
      </w:pPr>
      <w:r>
        <w:rPr>
          <w:bCs/>
          <w:b/>
        </w:rPr>
        <w:t xml:space="preserve">Strategic Networking:</w:t>
      </w:r>
      <w:r>
        <w:t xml:space="preserve"> </w:t>
      </w:r>
      <w:r>
        <w:t xml:space="preserve">The Banker is encouraged to increase participation in regional financial forums and industry associations in Guangzhou to enhance visibility and thought leadership.</w:t>
      </w:r>
    </w:p>
    <w:bookmarkEnd w:id="27"/>
    <w:bookmarkStart w:id="28" w:name="overall-assessment-and-scoring"/>
    <w:p>
      <w:pPr>
        <w:pStyle w:val="Heading2"/>
      </w:pPr>
      <w:r>
        <w:t xml:space="preserve">5. Overall Assessment and Scoring</w:t>
      </w:r>
    </w:p>
    <w:p>
      <w:pPr>
        <w:pStyle w:val="FirstParagraph"/>
      </w:pPr>
      <w:r>
        <w:rPr>
          <w:bCs/>
          <w:b/>
        </w:rPr>
        <w:t xml:space="preserve">Overall Performance Rating:</w:t>
      </w:r>
      <w:r>
        <w:t xml:space="preserve"> </w:t>
      </w:r>
      <w:r>
        <w:t xml:space="preserve">Exceeds Expectations</w:t>
      </w:r>
    </w:p>
    <w:p>
      <w:pPr>
        <w:pStyle w:val="BodyText"/>
      </w:pPr>
      <w:r>
        <w:rPr>
          <w:bCs/>
          <w:b/>
        </w:rPr>
        <w:t xml:space="preserve">Key Competency Scores:</w:t>
      </w:r>
    </w:p>
    <w:p>
      <w:pPr>
        <w:numPr>
          <w:ilvl w:val="0"/>
          <w:numId w:val="1005"/>
        </w:numPr>
        <w:pStyle w:val="Compact"/>
      </w:pPr>
      <w:r>
        <w:t xml:space="preserve">Client Service &amp; Relationship Building: 9/10</w:t>
      </w:r>
    </w:p>
    <w:p>
      <w:pPr>
        <w:numPr>
          <w:ilvl w:val="0"/>
          <w:numId w:val="1005"/>
        </w:numPr>
        <w:pStyle w:val="Compact"/>
      </w:pPr>
      <w:r>
        <w:t xml:space="preserve">Regulatory Compliance &amp; Risk Management: 9/10</w:t>
      </w:r>
    </w:p>
    <w:p>
      <w:pPr>
        <w:numPr>
          <w:ilvl w:val="0"/>
          <w:numId w:val="1005"/>
        </w:numPr>
        <w:pStyle w:val="Compact"/>
      </w:pPr>
      <w:r>
        <w:t xml:space="preserve">Market Knowledge (Guangzhou/GBA): 8/10</w:t>
      </w:r>
    </w:p>
    <w:p>
      <w:pPr>
        <w:numPr>
          <w:ilvl w:val="0"/>
          <w:numId w:val="1005"/>
        </w:numPr>
        <w:pStyle w:val="Compact"/>
      </w:pPr>
      <w:r>
        <w:t xml:space="preserve">Digital Proficiency: 8/10</w:t>
      </w:r>
    </w:p>
    <w:p>
      <w:pPr>
        <w:pStyle w:val="FirstParagraph"/>
      </w:pPr>
      <w:r>
        <w:t xml:space="preserve">The Banker has demonstrated a robust understanding of the financial ecosystem in</w:t>
      </w:r>
      <w:r>
        <w:t xml:space="preserve"> </w:t>
      </w:r>
      <w:r>
        <w:rPr>
          <w:bCs/>
          <w:b/>
        </w:rPr>
        <w:t xml:space="preserve">China Guangzhou</w:t>
      </w:r>
      <w:r>
        <w:t xml:space="preserve">. Their ability to balance regulatory rigor with client-centric service makes them a valuable asset to the institution. This</w:t>
      </w:r>
      <w:r>
        <w:t xml:space="preserve"> </w:t>
      </w:r>
      <w:r>
        <w:rPr>
          <w:bCs/>
          <w:b/>
        </w:rPr>
        <w:t xml:space="preserve">Peer Review Report</w:t>
      </w:r>
      <w:r>
        <w:t xml:space="preserve"> </w:t>
      </w:r>
      <w:r>
        <w:t xml:space="preserve">concludes that the Banker is well-positioned for continued growth and potential leadership responsibilities within the regional branch.</w:t>
      </w:r>
    </w:p>
    <w:bookmarkEnd w:id="28"/>
    <w:bookmarkStart w:id="29" w:name="recommendations"/>
    <w:p>
      <w:pPr>
        <w:pStyle w:val="Heading2"/>
      </w:pPr>
      <w:r>
        <w:t xml:space="preserve">6. Recommendations</w:t>
      </w:r>
    </w:p>
    <w:p>
      <w:pPr>
        <w:pStyle w:val="FirstParagraph"/>
      </w:pPr>
      <w:r>
        <w:t xml:space="preserve">Based on the findings of this review, the following actions are recommended:</w:t>
      </w:r>
    </w:p>
    <w:p>
      <w:pPr>
        <w:numPr>
          <w:ilvl w:val="0"/>
          <w:numId w:val="1006"/>
        </w:numPr>
        <w:pStyle w:val="Compact"/>
      </w:pPr>
      <w:r>
        <w:t xml:space="preserve">Enroll the Banker in advanced training on Greater Bay Area financial integration policies.</w:t>
      </w:r>
    </w:p>
    <w:p>
      <w:pPr>
        <w:numPr>
          <w:ilvl w:val="0"/>
          <w:numId w:val="1006"/>
        </w:numPr>
        <w:pStyle w:val="Compact"/>
      </w:pPr>
      <w:r>
        <w:t xml:space="preserve">Assign the Banker to lead a pilot project for digital onboarding of SME clients in Guangzhou.</w:t>
      </w:r>
    </w:p>
    <w:p>
      <w:pPr>
        <w:numPr>
          <w:ilvl w:val="0"/>
          <w:numId w:val="1006"/>
        </w:numPr>
        <w:pStyle w:val="Compact"/>
      </w:pPr>
      <w:r>
        <w:t xml:space="preserve">Schedule a follow-up review in six months to monitor progress in cross-border advisory capabilities.</w:t>
      </w:r>
    </w:p>
    <w:p>
      <w:pPr>
        <w:pStyle w:val="FirstParagraph"/>
      </w:pPr>
      <w:r>
        <w:rPr>
          <w:bCs/>
          <w:b/>
        </w:rPr>
        <w:t xml:space="preserve">Reviewer Signature:</w:t>
      </w:r>
      <w:r>
        <w:br/>
      </w:r>
      <w:r>
        <w:t xml:space="preserve">[Digital Signature]</w:t>
      </w:r>
      <w:r>
        <w:br/>
      </w:r>
      <w:r>
        <w:t xml:space="preserve">Senior Relationship Manager</w:t>
      </w:r>
    </w:p>
    <w:p>
      <w:pPr>
        <w:pStyle w:val="BodyText"/>
      </w:pPr>
      <w:r>
        <w:rPr>
          <w:bCs/>
          <w:b/>
        </w:rPr>
        <w:t xml:space="preserve">Banker Acknowledgment:</w:t>
      </w:r>
      <w:r>
        <w:br/>
      </w:r>
      <w:r>
        <w:t xml:space="preserve">[Digital Signature]</w:t>
      </w:r>
      <w:r>
        <w:br/>
      </w:r>
      <w:r>
        <w:t xml:space="preserve">Associate Banker</w:t>
      </w:r>
    </w:p>
    <w:p>
      <w:pPr>
        <w:pStyle w:val="BodyText"/>
      </w:pPr>
      <w:r>
        <w:t xml:space="preserve">Confidential Document - Internal Use Only. This Peer Review Report is generated for performance evaluation purposes within the banking institution operating in China Guangzhou.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 - Guangzhou, China</dc:title>
  <dc:creator/>
  <dc:language>en</dc:language>
  <cp:keywords/>
  <dcterms:created xsi:type="dcterms:W3CDTF">2026-10-10T04:34:39Z</dcterms:created>
  <dcterms:modified xsi:type="dcterms:W3CDTF">2026-10-10T04:34:39Z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