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Professional Performance Evaluation of Banker</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Team</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conduct, technical proficiency, and strategic alignment of the designated Banker operating within the financial district of Colombia Medellín. The objective of this review is to evaluate the individual's contribution to the institution's goals, their adherence to local regulatory frameworks, and their effectiveness in client relationship management within the unique socio-economic context of the Antioquia region.</w:t>
      </w:r>
    </w:p>
    <w:p>
      <w:pPr>
        <w:pStyle w:val="BodyText"/>
      </w:pPr>
      <w:r>
        <w:t xml:space="preserve">The review process involved a 360-degree feedback loop, incorporating observations from colleagues, supervisors, and anonymized client satisfaction surveys. The findings indicate a strong performance in technical banking operations and regulatory compliance, with specific areas identified for growth regarding digital transformation adoption and cross-cultural communication strategies tailored to the Medellín market.</w:t>
      </w:r>
    </w:p>
    <w:bookmarkEnd w:id="21"/>
    <w:bookmarkStart w:id="22" w:name="contextual-analysis-the-medellín-market"/>
    <w:p>
      <w:pPr>
        <w:pStyle w:val="Heading2"/>
      </w:pPr>
      <w:r>
        <w:t xml:space="preserve">2. Contextual Analysis: The Medellín Market</w:t>
      </w:r>
    </w:p>
    <w:p>
      <w:pPr>
        <w:pStyle w:val="FirstParagraph"/>
      </w:pPr>
      <w:r>
        <w:t xml:space="preserve">To accurately assess the Banker, it is imperative to understand the operating environment. Colombia Medellín has emerged as a dynamic hub for fintech innovation and traditional banking growth. The market is characterized by a blend of rapid technological adoption and a deep-seated cultural emphasis on personal relationships ("confianza").</w:t>
      </w:r>
    </w:p>
    <w:p>
      <w:pPr>
        <w:pStyle w:val="BodyText"/>
      </w:pPr>
      <w:r>
        <w:t xml:space="preserve">A successful Banker in this region must navigate the complexities of the Superintendencia Financiera de Colombia regulations while fostering trust with a diverse clientele ranging from local SMEs in the industrial sector to high-net-worth individuals in the El Poblado district. This report evaluates how well the subject has adapted to these specific regional demands.</w:t>
      </w:r>
    </w:p>
    <w:bookmarkEnd w:id="22"/>
    <w:bookmarkStart w:id="23" w:name="performance-evaluation-criteria"/>
    <w:p>
      <w:pPr>
        <w:pStyle w:val="Heading2"/>
      </w:pPr>
      <w:r>
        <w:t xml:space="preserve">3. Performance Evaluation Criteria</w:t>
      </w:r>
    </w:p>
    <w:p>
      <w:pPr>
        <w:pStyle w:val="FirstParagraph"/>
      </w:pPr>
      <w:r>
        <w:t xml:space="preserve">The following table outlines the key performance indicators (KPIs) assessed during this Peer Review Report. Scores are rated on a scale of 1 to 5, where 5 represents exceptional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w:t>
            </w:r>
          </w:p>
        </w:tc>
        <w:tc>
          <w:tcPr/>
          <w:p>
            <w:pPr>
              <w:pStyle w:val="Compact"/>
              <w:jc w:val="left"/>
            </w:pPr>
            <w:r>
              <w:t xml:space="preserve">Assessment Notes</w:t>
            </w:r>
          </w:p>
        </w:tc>
      </w:tr>
      <w:tr>
        <w:tc>
          <w:tcPr/>
          <w:p>
            <w:pPr>
              <w:pStyle w:val="Compact"/>
              <w:jc w:val="left"/>
            </w:pPr>
            <w:r>
              <w:t xml:space="preserve">Regulatory Compliance &amp; Risk Management</w:t>
            </w:r>
          </w:p>
        </w:tc>
        <w:tc>
          <w:tcPr/>
          <w:p>
            <w:pPr>
              <w:pStyle w:val="Compact"/>
              <w:jc w:val="left"/>
            </w:pPr>
            <w:r>
              <w:t xml:space="preserve">5</w:t>
            </w:r>
          </w:p>
        </w:tc>
        <w:tc>
          <w:tcPr/>
          <w:p>
            <w:pPr>
              <w:pStyle w:val="Compact"/>
              <w:jc w:val="left"/>
            </w:pPr>
            <w:r>
              <w:t xml:space="preserve">Exemplary adherence to anti-money laundering (AML) protocols specific to Colombian law.</w:t>
            </w:r>
          </w:p>
        </w:tc>
      </w:tr>
      <w:tr>
        <w:tc>
          <w:tcPr/>
          <w:p>
            <w:pPr>
              <w:pStyle w:val="Compact"/>
              <w:jc w:val="left"/>
            </w:pPr>
            <w:r>
              <w:t xml:space="preserve">Client Relationship Management</w:t>
            </w:r>
          </w:p>
        </w:tc>
        <w:tc>
          <w:tcPr/>
          <w:p>
            <w:pPr>
              <w:pStyle w:val="Compact"/>
              <w:jc w:val="left"/>
            </w:pPr>
            <w:r>
              <w:t xml:space="preserve">4</w:t>
            </w:r>
          </w:p>
        </w:tc>
        <w:tc>
          <w:tcPr/>
          <w:p>
            <w:pPr>
              <w:pStyle w:val="Compact"/>
              <w:jc w:val="left"/>
            </w:pPr>
            <w:r>
              <w:t xml:space="preserve">Strong rapport with local clients; demonstrates cultural intelligence.</w:t>
            </w:r>
          </w:p>
        </w:tc>
      </w:tr>
      <w:tr>
        <w:tc>
          <w:tcPr/>
          <w:p>
            <w:pPr>
              <w:pStyle w:val="Compact"/>
              <w:jc w:val="left"/>
            </w:pPr>
            <w:r>
              <w:t xml:space="preserve">Product Knowledge &amp; Sales</w:t>
            </w:r>
          </w:p>
        </w:tc>
        <w:tc>
          <w:tcPr/>
          <w:p>
            <w:pPr>
              <w:pStyle w:val="Compact"/>
              <w:jc w:val="left"/>
            </w:pPr>
            <w:r>
              <w:t xml:space="preserve">3</w:t>
            </w:r>
          </w:p>
        </w:tc>
        <w:tc>
          <w:tcPr/>
          <w:p>
            <w:pPr>
              <w:pStyle w:val="Compact"/>
              <w:jc w:val="left"/>
            </w:pPr>
            <w:r>
              <w:t xml:space="preserve">Good knowledge of traditional products; needs improvement in digital banking solutions.</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Actively supports colleagues and shares market insights regarding the Medellín economy.</w:t>
            </w:r>
          </w:p>
        </w:tc>
      </w:tr>
      <w:tr>
        <w:tc>
          <w:tcPr/>
          <w:p>
            <w:pPr>
              <w:pStyle w:val="Compact"/>
              <w:jc w:val="left"/>
            </w:pPr>
            <w:r>
              <w:t xml:space="preserve">Problem Solving</w:t>
            </w:r>
          </w:p>
        </w:tc>
        <w:tc>
          <w:tcPr/>
          <w:p>
            <w:pPr>
              <w:pStyle w:val="Compact"/>
              <w:jc w:val="left"/>
            </w:pPr>
            <w:r>
              <w:t xml:space="preserve">3</w:t>
            </w:r>
          </w:p>
        </w:tc>
        <w:tc>
          <w:tcPr/>
          <w:p>
            <w:pPr>
              <w:pStyle w:val="Compact"/>
              <w:jc w:val="left"/>
            </w:pPr>
            <w:r>
              <w:t xml:space="preserve">Effective in routine scenarios; occasionally struggles with complex, non-standard financial structuring.</w:t>
            </w:r>
          </w:p>
        </w:tc>
      </w:tr>
    </w:tbl>
    <w:bookmarkEnd w:id="23"/>
    <w:bookmarkStart w:id="27" w:name="detailed-observations"/>
    <w:p>
      <w:pPr>
        <w:pStyle w:val="Heading2"/>
      </w:pPr>
      <w:r>
        <w:t xml:space="preserve">4. Detailed Observations</w:t>
      </w:r>
    </w:p>
    <w:bookmarkStart w:id="24" w:name="regulatory-compliance-and-ethics"/>
    <w:p>
      <w:pPr>
        <w:pStyle w:val="Heading3"/>
      </w:pPr>
      <w:r>
        <w:t xml:space="preserve">4.1. Regulatory Compliance and Ethics</w:t>
      </w:r>
    </w:p>
    <w:p>
      <w:pPr>
        <w:pStyle w:val="FirstParagraph"/>
      </w:pPr>
      <w:r>
        <w:t xml:space="preserve">One of the standout strengths identified in this Peer Review Report is the Banker's rigorous approach to compliance. Operating in Colombia Medellín requires strict adherence to the guidelines set by the Superintendencia Financiera. The subject has demonstrated an exceptional ability to identify potential risks in transactions, ensuring that the bank remains protected against fraud and money laundering. Their documentation is meticulous, and they consistently stay updated on changes in Colombian tax law and financial regulations.</w:t>
      </w:r>
    </w:p>
    <w:bookmarkEnd w:id="24"/>
    <w:bookmarkStart w:id="25" w:name="client-engagement-and-cultural-fit"/>
    <w:p>
      <w:pPr>
        <w:pStyle w:val="Heading3"/>
      </w:pPr>
      <w:r>
        <w:t xml:space="preserve">4.2. Client Engagement and Cultural Fit</w:t>
      </w:r>
    </w:p>
    <w:p>
      <w:pPr>
        <w:pStyle w:val="FirstParagraph"/>
      </w:pPr>
      <w:r>
        <w:t xml:space="preserve">The Medellín banking sector relies heavily on personal interaction. The Banker has successfully cultivated a network of loyal clients by demonstrating genuine interest in their business ventures and personal financial goals. Peers have noted the subject's ability to navigate the nuances of Colombian business etiquette, balancing professionalism with the warmth expected in local interactions. This cultural fit is a significant asset, particularly when dealing with family-owned enterprises that dominate the local economy.</w:t>
      </w:r>
    </w:p>
    <w:bookmarkEnd w:id="25"/>
    <w:bookmarkStart w:id="26" w:name="X193e9644bd22569c702ac624b25a4cefcf3b628"/>
    <w:p>
      <w:pPr>
        <w:pStyle w:val="Heading3"/>
      </w:pPr>
      <w:r>
        <w:t xml:space="preserve">4.3. Technical Proficiency and Digital Adaptation</w:t>
      </w:r>
    </w:p>
    <w:p>
      <w:pPr>
        <w:pStyle w:val="FirstParagraph"/>
      </w:pPr>
      <w:r>
        <w:t xml:space="preserve">While the Banker excels in traditional face-to-face banking, this report highlights a need for improvement in digital fluency. Colombia Medellín is rapidly becoming a center for digital finance. The subject has shown resistance to fully utilizing the bank's new CRM tools and digital advisory platforms. To remain competitive, the Banker must integrate these technologies into their workflow to provide seamless omnichannel experiences to clients who increasingly expect digital convenience alongside personal service.</w:t>
      </w:r>
    </w:p>
    <w:bookmarkEnd w:id="26"/>
    <w:bookmarkEnd w:id="27"/>
    <w:bookmarkStart w:id="29" w:name="recommendations-for-development"/>
    <w:p>
      <w:pPr>
        <w:pStyle w:val="Heading2"/>
      </w:pPr>
      <w:r>
        <w:t xml:space="preserve">5. Recommendations for Development</w:t>
      </w:r>
    </w:p>
    <w:bookmarkStart w:id="28" w:name="strategic-action-plan"/>
    <w:p>
      <w:pPr>
        <w:pStyle w:val="Heading3"/>
      </w:pPr>
      <w:r>
        <w:t xml:space="preserve">Strategic Action Plan</w:t>
      </w:r>
    </w:p>
    <w:p>
      <w:pPr>
        <w:numPr>
          <w:ilvl w:val="0"/>
          <w:numId w:val="1001"/>
        </w:numPr>
        <w:pStyle w:val="Compact"/>
      </w:pPr>
      <w:r>
        <w:rPr>
          <w:bCs/>
          <w:b/>
        </w:rPr>
        <w:t xml:space="preserve">Digital Upskilling:</w:t>
      </w:r>
      <w:r>
        <w:t xml:space="preserve"> </w:t>
      </w:r>
      <w:r>
        <w:t xml:space="preserve">Enroll in advanced training modules regarding the bank's digital ecosystem and fintech trends relevant to the Colombian market.</w:t>
      </w:r>
    </w:p>
    <w:p>
      <w:pPr>
        <w:numPr>
          <w:ilvl w:val="0"/>
          <w:numId w:val="1001"/>
        </w:numPr>
        <w:pStyle w:val="Compact"/>
      </w:pPr>
      <w:r>
        <w:rPr>
          <w:bCs/>
          <w:b/>
        </w:rPr>
        <w:t xml:space="preserve">Complex Structuring:</w:t>
      </w:r>
      <w:r>
        <w:t xml:space="preserve"> </w:t>
      </w:r>
      <w:r>
        <w:t xml:space="preserve">Participate in workshops focused on complex financial structuring for SMEs to enhance problem-solving capabilities.</w:t>
      </w:r>
    </w:p>
    <w:p>
      <w:pPr>
        <w:numPr>
          <w:ilvl w:val="0"/>
          <w:numId w:val="1001"/>
        </w:numPr>
        <w:pStyle w:val="Compact"/>
      </w:pPr>
      <w:r>
        <w:rPr>
          <w:bCs/>
          <w:b/>
        </w:rPr>
        <w:t xml:space="preserve">Mentorship:</w:t>
      </w:r>
      <w:r>
        <w:t xml:space="preserve"> </w:t>
      </w:r>
      <w:r>
        <w:t xml:space="preserve">Establish a mentorship relationship with a senior digital banking officer to bridge the gap between traditional and modern banking practices.</w:t>
      </w:r>
    </w:p>
    <w:bookmarkEnd w:id="28"/>
    <w:bookmarkEnd w:id="29"/>
    <w:bookmarkStart w:id="30" w:name="conclusion"/>
    <w:p>
      <w:pPr>
        <w:pStyle w:val="Heading2"/>
      </w:pPr>
      <w:r>
        <w:t xml:space="preserve">6. Conclusion</w:t>
      </w:r>
    </w:p>
    <w:p>
      <w:pPr>
        <w:pStyle w:val="FirstParagraph"/>
      </w:pPr>
      <w:r>
        <w:t xml:space="preserve">In conclusion, this Peer Review Report affirms that the Banker is a valuable asset to the institution in Colombia Medellín. Their strong ethical foundation, regulatory knowledge, and cultural adaptability make them a trusted figure in the local financial community. By addressing the identified gaps in digital proficiency and complex financial structuring, the Banker is well-positioned for career advancement and continued success in the evolving landscape of the Medellín banking sector.</w:t>
      </w:r>
    </w:p>
    <w:bookmarkEnd w:id="30"/>
    <w:p>
      <w:pPr>
        <w:pStyle w:val="BodyText"/>
      </w:pPr>
      <w:r>
        <w:t xml:space="preserve">© 2023 Internal Human Resources Department.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2026-10-10T03:21:19Z</dcterms:created>
  <dcterms:modified xsi:type="dcterms:W3CDTF">2026-10-10T03:21:19Z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